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E9" w:rsidRPr="00D84610" w:rsidRDefault="005B07E9" w:rsidP="005B07E9">
      <w:pPr>
        <w:spacing w:after="120"/>
        <w:jc w:val="both"/>
        <w:rPr>
          <w:rFonts w:asciiTheme="majorHAnsi" w:hAnsiTheme="majorHAnsi"/>
          <w:b/>
          <w:sz w:val="24"/>
          <w:szCs w:val="24"/>
        </w:rPr>
      </w:pPr>
      <w:r w:rsidRPr="00D84610">
        <w:rPr>
          <w:rFonts w:asciiTheme="majorHAnsi" w:hAnsiTheme="majorHAnsi"/>
          <w:b/>
          <w:sz w:val="24"/>
          <w:szCs w:val="24"/>
        </w:rPr>
        <w:t>PARECER DO CONTROLE INTERNO Nº 00</w:t>
      </w:r>
      <w:r>
        <w:rPr>
          <w:rFonts w:asciiTheme="majorHAnsi" w:hAnsiTheme="majorHAnsi"/>
          <w:b/>
          <w:sz w:val="24"/>
          <w:szCs w:val="24"/>
        </w:rPr>
        <w:t>3/SCI-VI/2022</w:t>
      </w:r>
    </w:p>
    <w:p w:rsidR="005B07E9" w:rsidRPr="00D84610" w:rsidRDefault="005B07E9" w:rsidP="005B07E9">
      <w:pPr>
        <w:jc w:val="both"/>
        <w:rPr>
          <w:rFonts w:asciiTheme="majorHAnsi" w:hAnsiTheme="majorHAnsi" w:cs="Calibri"/>
          <w:b/>
          <w:sz w:val="24"/>
          <w:szCs w:val="24"/>
          <w:u w:val="single"/>
        </w:rPr>
      </w:pPr>
    </w:p>
    <w:p w:rsidR="005B07E9" w:rsidRPr="00D84610" w:rsidRDefault="005B07E9" w:rsidP="005B07E9">
      <w:pPr>
        <w:ind w:left="1620"/>
        <w:jc w:val="both"/>
        <w:rPr>
          <w:rFonts w:asciiTheme="majorHAnsi" w:hAnsiTheme="majorHAnsi" w:cs="Calibri"/>
          <w:b/>
          <w:sz w:val="24"/>
          <w:szCs w:val="24"/>
        </w:rPr>
      </w:pPr>
      <w:r w:rsidRPr="00D84610">
        <w:rPr>
          <w:rFonts w:asciiTheme="majorHAnsi" w:hAnsiTheme="majorHAnsi" w:cs="Calibri"/>
          <w:b/>
          <w:sz w:val="24"/>
          <w:szCs w:val="24"/>
        </w:rPr>
        <w:t xml:space="preserve">TRATA-SE DE PARECER ENVIADO A </w:t>
      </w:r>
      <w:r>
        <w:rPr>
          <w:rFonts w:asciiTheme="majorHAnsi" w:hAnsiTheme="majorHAnsi" w:cs="Calibri"/>
          <w:b/>
          <w:sz w:val="24"/>
          <w:szCs w:val="24"/>
        </w:rPr>
        <w:t>PRESIDENCIA</w:t>
      </w:r>
      <w:r w:rsidRPr="00D84610">
        <w:rPr>
          <w:rFonts w:asciiTheme="majorHAnsi" w:hAnsiTheme="majorHAnsi" w:cs="Calibri"/>
          <w:b/>
          <w:sz w:val="24"/>
          <w:szCs w:val="24"/>
        </w:rPr>
        <w:t xml:space="preserve"> DA CÂMARA MUNICIPAL, REFERENTE AO RESSARCIMENTO DE VERBA INDENIZATÓRIA D</w:t>
      </w:r>
      <w:r>
        <w:rPr>
          <w:rFonts w:asciiTheme="majorHAnsi" w:hAnsiTheme="majorHAnsi" w:cs="Calibri"/>
          <w:b/>
          <w:sz w:val="24"/>
          <w:szCs w:val="24"/>
        </w:rPr>
        <w:t xml:space="preserve">O </w:t>
      </w:r>
      <w:r w:rsidRPr="00D84610">
        <w:rPr>
          <w:rFonts w:asciiTheme="majorHAnsi" w:hAnsiTheme="majorHAnsi" w:cs="Calibri"/>
          <w:b/>
          <w:sz w:val="24"/>
          <w:szCs w:val="24"/>
        </w:rPr>
        <w:t xml:space="preserve">VEREADOR </w:t>
      </w:r>
      <w:r>
        <w:rPr>
          <w:rFonts w:asciiTheme="majorHAnsi" w:hAnsiTheme="majorHAnsi" w:cs="Calibri"/>
          <w:b/>
          <w:sz w:val="24"/>
          <w:szCs w:val="24"/>
        </w:rPr>
        <w:t>ROGERIO SILVA</w:t>
      </w:r>
      <w:r w:rsidRPr="00D84610">
        <w:rPr>
          <w:rFonts w:asciiTheme="majorHAnsi" w:hAnsiTheme="majorHAnsi" w:cs="Calibri"/>
          <w:b/>
          <w:sz w:val="24"/>
          <w:szCs w:val="24"/>
        </w:rPr>
        <w:t>.</w:t>
      </w:r>
    </w:p>
    <w:p w:rsidR="005B07E9" w:rsidRPr="00D84610" w:rsidRDefault="005B07E9" w:rsidP="005B07E9">
      <w:pPr>
        <w:ind w:firstLine="709"/>
        <w:jc w:val="both"/>
        <w:rPr>
          <w:rFonts w:asciiTheme="majorHAnsi" w:hAnsiTheme="majorHAnsi" w:cs="Calibri"/>
          <w:sz w:val="24"/>
          <w:szCs w:val="24"/>
        </w:rPr>
      </w:pPr>
    </w:p>
    <w:p w:rsidR="005B07E9" w:rsidRPr="00A64AD5" w:rsidRDefault="005B07E9" w:rsidP="005B07E9">
      <w:pPr>
        <w:ind w:firstLine="709"/>
        <w:jc w:val="both"/>
        <w:rPr>
          <w:rFonts w:asciiTheme="majorHAnsi" w:hAnsiTheme="majorHAnsi" w:cs="Calibri"/>
          <w:sz w:val="22"/>
          <w:szCs w:val="22"/>
        </w:rPr>
      </w:pPr>
      <w:r w:rsidRPr="00A64AD5">
        <w:rPr>
          <w:rFonts w:asciiTheme="majorHAnsi" w:hAnsiTheme="majorHAnsi" w:cs="Calibri"/>
          <w:sz w:val="22"/>
          <w:szCs w:val="22"/>
        </w:rPr>
        <w:t>Do ponto de vista da legalidade, a Lei 3.134/09 de 02/06/2009, que consolidou as regras que tratam da verba indenizatória, estabelece que esta verba seja destinada ao ressarcimento de despesas relacionadas com a atividade parlamentar, estipulando valor mensal de gastos e elencando as despesas passíveis de serem indenizadas:</w:t>
      </w:r>
    </w:p>
    <w:p w:rsidR="005B07E9" w:rsidRDefault="005B07E9" w:rsidP="005B07E9">
      <w:pPr>
        <w:autoSpaceDE w:val="0"/>
        <w:autoSpaceDN w:val="0"/>
        <w:adjustRightInd w:val="0"/>
        <w:ind w:left="2268"/>
        <w:jc w:val="both"/>
        <w:rPr>
          <w:rFonts w:asciiTheme="majorHAnsi" w:eastAsiaTheme="minorHAnsi" w:hAnsiTheme="majorHAnsi" w:cs="Arial"/>
          <w:lang w:eastAsia="en-US"/>
        </w:rPr>
      </w:pPr>
    </w:p>
    <w:p w:rsidR="005B07E9" w:rsidRPr="00A64AD5" w:rsidRDefault="005B07E9" w:rsidP="005B07E9">
      <w:pPr>
        <w:autoSpaceDE w:val="0"/>
        <w:autoSpaceDN w:val="0"/>
        <w:adjustRightInd w:val="0"/>
        <w:ind w:left="2268"/>
        <w:jc w:val="both"/>
        <w:rPr>
          <w:rFonts w:asciiTheme="majorHAnsi" w:eastAsiaTheme="minorHAnsi" w:hAnsiTheme="majorHAnsi" w:cs="Arial"/>
          <w:sz w:val="18"/>
          <w:szCs w:val="18"/>
          <w:lang w:eastAsia="en-US"/>
        </w:rPr>
      </w:pPr>
      <w:r w:rsidRPr="00A64AD5">
        <w:rPr>
          <w:rFonts w:asciiTheme="majorHAnsi" w:eastAsiaTheme="minorHAnsi" w:hAnsiTheme="majorHAnsi" w:cs="Arial"/>
          <w:b/>
          <w:sz w:val="18"/>
          <w:szCs w:val="18"/>
          <w:lang w:eastAsia="en-US"/>
        </w:rPr>
        <w:t xml:space="preserve">Art. 1º </w:t>
      </w:r>
      <w:r w:rsidRPr="00A64AD5">
        <w:rPr>
          <w:rFonts w:asciiTheme="majorHAnsi" w:eastAsiaTheme="minorHAnsi" w:hAnsiTheme="majorHAnsi" w:cs="Arial"/>
          <w:sz w:val="18"/>
          <w:szCs w:val="18"/>
          <w:lang w:eastAsia="en-US"/>
        </w:rPr>
        <w:t>- A verba de natureza indenizatória, instituída por lei no âmbito do Poder Legislativo Municipal, é destinada ao ressarcimento de despesas relacionadas às atividades parlamentares, até o limite mensal de R$ 2.650,00 (dois mil seiscentos e cinqüenta reais), por parlamentar, não podendo ultrapassar o limite de R$ 31.800,00 (trinta e um mil e oitocentos reais) por ano.</w:t>
      </w:r>
    </w:p>
    <w:p w:rsidR="005B07E9" w:rsidRPr="00A64AD5" w:rsidRDefault="005B07E9" w:rsidP="005B07E9">
      <w:pPr>
        <w:autoSpaceDE w:val="0"/>
        <w:autoSpaceDN w:val="0"/>
        <w:adjustRightInd w:val="0"/>
        <w:ind w:left="2268"/>
        <w:jc w:val="both"/>
        <w:rPr>
          <w:rFonts w:asciiTheme="majorHAnsi" w:hAnsiTheme="majorHAnsi" w:cs="Calibri"/>
          <w:sz w:val="18"/>
          <w:szCs w:val="18"/>
        </w:rPr>
      </w:pPr>
      <w:r w:rsidRPr="00A64AD5">
        <w:rPr>
          <w:rFonts w:asciiTheme="majorHAnsi" w:eastAsiaTheme="minorHAnsi" w:hAnsiTheme="majorHAnsi" w:cs="Arial"/>
          <w:b/>
          <w:sz w:val="18"/>
          <w:szCs w:val="18"/>
          <w:lang w:eastAsia="en-US"/>
        </w:rPr>
        <w:t xml:space="preserve">§ 2º </w:t>
      </w:r>
      <w:r w:rsidRPr="00A64AD5">
        <w:rPr>
          <w:rFonts w:asciiTheme="majorHAnsi" w:eastAsiaTheme="minorHAnsi" w:hAnsiTheme="majorHAnsi" w:cs="Arial"/>
          <w:sz w:val="18"/>
          <w:szCs w:val="18"/>
          <w:lang w:eastAsia="en-US"/>
        </w:rPr>
        <w:t>Considera-se atividade parlamentar para ensejo à percepção da verba indenizatória aquelas relacionadas com representação dos interesses sociais, fiscalização institucional, legislação, bem como todas aquelas de caráter cultural ou político onde haja interesse público. (Redação dada pela Lei nº 4636/2016).</w:t>
      </w:r>
    </w:p>
    <w:p w:rsidR="005B07E9" w:rsidRDefault="005B07E9" w:rsidP="005B07E9">
      <w:pPr>
        <w:ind w:firstLine="709"/>
        <w:jc w:val="both"/>
        <w:rPr>
          <w:rFonts w:asciiTheme="majorHAnsi" w:hAnsiTheme="majorHAnsi" w:cs="Calibri"/>
          <w:sz w:val="24"/>
          <w:szCs w:val="24"/>
        </w:rPr>
      </w:pPr>
    </w:p>
    <w:p w:rsidR="005B07E9" w:rsidRDefault="005B07E9" w:rsidP="005B07E9">
      <w:pPr>
        <w:ind w:firstLine="709"/>
        <w:jc w:val="both"/>
        <w:rPr>
          <w:rFonts w:asciiTheme="majorHAnsi" w:hAnsiTheme="majorHAnsi" w:cs="Calibri"/>
          <w:sz w:val="22"/>
          <w:szCs w:val="22"/>
        </w:rPr>
      </w:pPr>
      <w:r w:rsidRPr="00A64AD5">
        <w:rPr>
          <w:rFonts w:asciiTheme="majorHAnsi" w:hAnsiTheme="majorHAnsi" w:cs="Calibri"/>
          <w:sz w:val="22"/>
          <w:szCs w:val="22"/>
        </w:rPr>
        <w:t xml:space="preserve">O papel do vereador é, precipuamente, legislar e fiscalizar as ações do Executivo. Para desenvolver essas atividades, as despesas ocorridas, podem ser ressarcidas com a verba indenizatória, desde que essa correlação seja justificada e motivada. </w:t>
      </w:r>
    </w:p>
    <w:p w:rsidR="005B07E9" w:rsidRDefault="005B07E9" w:rsidP="005B07E9">
      <w:pPr>
        <w:autoSpaceDE w:val="0"/>
        <w:autoSpaceDN w:val="0"/>
        <w:adjustRightInd w:val="0"/>
        <w:ind w:firstLine="708"/>
        <w:jc w:val="both"/>
        <w:rPr>
          <w:rFonts w:asciiTheme="majorHAnsi" w:hAnsiTheme="majorHAnsi" w:cs="Calibri"/>
          <w:sz w:val="22"/>
          <w:szCs w:val="22"/>
        </w:rPr>
      </w:pPr>
      <w:r w:rsidRPr="00A64AD5">
        <w:rPr>
          <w:rFonts w:asciiTheme="majorHAnsi" w:hAnsiTheme="majorHAnsi" w:cs="Calibri"/>
          <w:sz w:val="22"/>
          <w:szCs w:val="22"/>
        </w:rPr>
        <w:t xml:space="preserve">Em função de suas atividades, o vereador </w:t>
      </w:r>
      <w:r>
        <w:rPr>
          <w:rFonts w:asciiTheme="majorHAnsi" w:hAnsiTheme="majorHAnsi" w:cs="Calibri"/>
          <w:sz w:val="22"/>
          <w:szCs w:val="22"/>
        </w:rPr>
        <w:t xml:space="preserve">Rogério Silva </w:t>
      </w:r>
      <w:r w:rsidRPr="00A64AD5">
        <w:rPr>
          <w:rFonts w:asciiTheme="majorHAnsi" w:hAnsiTheme="majorHAnsi" w:cs="Calibri"/>
          <w:sz w:val="22"/>
          <w:szCs w:val="22"/>
        </w:rPr>
        <w:t xml:space="preserve">apresentou </w:t>
      </w:r>
      <w:r>
        <w:rPr>
          <w:rFonts w:asciiTheme="majorHAnsi" w:hAnsiTheme="majorHAnsi" w:cs="Calibri"/>
          <w:sz w:val="22"/>
          <w:szCs w:val="22"/>
        </w:rPr>
        <w:t>Solicitação de Reembolso de Despesas amparada pela Lei 3.134/2009, no valor de R$ 2.117,17 (Dois mil cento e dezesse</w:t>
      </w:r>
      <w:r w:rsidR="00DD3928">
        <w:rPr>
          <w:rFonts w:asciiTheme="majorHAnsi" w:hAnsiTheme="majorHAnsi" w:cs="Calibri"/>
          <w:sz w:val="22"/>
          <w:szCs w:val="22"/>
        </w:rPr>
        <w:t>te reais e dezessete centavos), relativa às despesas realizadas no mês de Agosto/2022.</w:t>
      </w:r>
    </w:p>
    <w:p w:rsidR="005B07E9" w:rsidRDefault="005B07E9" w:rsidP="005B07E9">
      <w:pPr>
        <w:autoSpaceDE w:val="0"/>
        <w:autoSpaceDN w:val="0"/>
        <w:adjustRightInd w:val="0"/>
        <w:ind w:firstLine="708"/>
        <w:jc w:val="both"/>
        <w:rPr>
          <w:rFonts w:asciiTheme="majorHAnsi" w:hAnsiTheme="majorHAnsi" w:cs="Calibri"/>
          <w:sz w:val="22"/>
          <w:szCs w:val="22"/>
        </w:rPr>
      </w:pPr>
      <w:r>
        <w:rPr>
          <w:rFonts w:asciiTheme="majorHAnsi" w:hAnsiTheme="majorHAnsi" w:cs="Calibri"/>
          <w:sz w:val="22"/>
          <w:szCs w:val="22"/>
        </w:rPr>
        <w:t>C</w:t>
      </w:r>
      <w:r w:rsidRPr="00A64AD5">
        <w:rPr>
          <w:rFonts w:asciiTheme="majorHAnsi" w:hAnsiTheme="majorHAnsi" w:cs="Calibri"/>
          <w:sz w:val="22"/>
          <w:szCs w:val="22"/>
        </w:rPr>
        <w:t xml:space="preserve">ontudo, </w:t>
      </w:r>
      <w:r>
        <w:rPr>
          <w:rFonts w:asciiTheme="majorHAnsi" w:hAnsiTheme="majorHAnsi" w:cs="Calibri"/>
          <w:sz w:val="22"/>
          <w:szCs w:val="22"/>
        </w:rPr>
        <w:t>em função do período eleitoral, foi elaborada pela Controladoria Interna, a Recomendação Técnica nº 002/CICM/2022, em 14 de Junho do corrente ano, que orienta aos vereadores, que serão candidatos a qualquer cargo neste pleito eleitoral, que se abstenha</w:t>
      </w:r>
      <w:r w:rsidR="00520018">
        <w:rPr>
          <w:rFonts w:asciiTheme="majorHAnsi" w:hAnsiTheme="majorHAnsi" w:cs="Calibri"/>
          <w:sz w:val="22"/>
          <w:szCs w:val="22"/>
        </w:rPr>
        <w:t>m</w:t>
      </w:r>
      <w:r>
        <w:rPr>
          <w:rFonts w:asciiTheme="majorHAnsi" w:hAnsiTheme="majorHAnsi" w:cs="Calibri"/>
          <w:sz w:val="22"/>
          <w:szCs w:val="22"/>
        </w:rPr>
        <w:t xml:space="preserve"> de utilizar a verba indenizatória pela dificuldade em se mensurar se as atividades realizadas são parlamentares ou em função da campanha eleitoral, visto que os candidatos v</w:t>
      </w:r>
      <w:r w:rsidR="00520018">
        <w:rPr>
          <w:rFonts w:asciiTheme="majorHAnsi" w:hAnsiTheme="majorHAnsi" w:cs="Calibri"/>
          <w:sz w:val="22"/>
          <w:szCs w:val="22"/>
        </w:rPr>
        <w:t>ê</w:t>
      </w:r>
      <w:r>
        <w:rPr>
          <w:rFonts w:asciiTheme="majorHAnsi" w:hAnsiTheme="majorHAnsi" w:cs="Calibri"/>
          <w:sz w:val="22"/>
          <w:szCs w:val="22"/>
        </w:rPr>
        <w:t xml:space="preserve">m mantendo uma agenda de campanha bem </w:t>
      </w:r>
      <w:r w:rsidR="00520018">
        <w:rPr>
          <w:rFonts w:asciiTheme="majorHAnsi" w:hAnsiTheme="majorHAnsi" w:cs="Calibri"/>
          <w:sz w:val="22"/>
          <w:szCs w:val="22"/>
        </w:rPr>
        <w:t>intensa.</w:t>
      </w:r>
    </w:p>
    <w:p w:rsidR="00520018" w:rsidRDefault="00520018" w:rsidP="005B07E9">
      <w:pPr>
        <w:autoSpaceDE w:val="0"/>
        <w:autoSpaceDN w:val="0"/>
        <w:adjustRightInd w:val="0"/>
        <w:ind w:firstLine="708"/>
        <w:jc w:val="both"/>
        <w:rPr>
          <w:rFonts w:asciiTheme="majorHAnsi" w:hAnsiTheme="majorHAnsi" w:cs="Calibri"/>
          <w:sz w:val="22"/>
          <w:szCs w:val="22"/>
        </w:rPr>
      </w:pPr>
      <w:r>
        <w:rPr>
          <w:rFonts w:asciiTheme="majorHAnsi" w:hAnsiTheme="majorHAnsi" w:cs="Calibri"/>
          <w:sz w:val="22"/>
          <w:szCs w:val="22"/>
        </w:rPr>
        <w:t>Tal recomendação é baseada na lei eleitoral e na Cartilha da Controladoria Estadual do Estado – CGE-MT: Eleições 2022: Orientações aos Agentes Públicos – Condutas Vedadas em Ano Eleitoral.</w:t>
      </w:r>
    </w:p>
    <w:p w:rsidR="00520018" w:rsidRDefault="00520018" w:rsidP="005B07E9">
      <w:pPr>
        <w:autoSpaceDE w:val="0"/>
        <w:autoSpaceDN w:val="0"/>
        <w:adjustRightInd w:val="0"/>
        <w:ind w:firstLine="708"/>
        <w:jc w:val="both"/>
        <w:rPr>
          <w:rFonts w:asciiTheme="majorHAnsi" w:hAnsiTheme="majorHAnsi" w:cs="Calibri"/>
          <w:sz w:val="22"/>
          <w:szCs w:val="22"/>
        </w:rPr>
      </w:pPr>
      <w:r>
        <w:rPr>
          <w:rFonts w:asciiTheme="majorHAnsi" w:hAnsiTheme="majorHAnsi" w:cs="Calibri"/>
          <w:sz w:val="22"/>
          <w:szCs w:val="22"/>
        </w:rPr>
        <w:t>Dessa forma, esta Controladoria se abstém de atestar os processos de solicitação de ressarcimento com a verba indenizatória dos vereadores que são candidatos nesse pleito eleitoral, sendo de total responsabilidade do gestor em aprovar o pagamento dessas despesas e do vereador em comprovar suas atividades e a regularidade no uso do recurso público, visto já terem sido orientados.</w:t>
      </w:r>
    </w:p>
    <w:p w:rsidR="005B07E9" w:rsidRPr="00A64AD5" w:rsidRDefault="005B07E9" w:rsidP="005B07E9">
      <w:pPr>
        <w:spacing w:after="120"/>
        <w:ind w:firstLine="709"/>
        <w:jc w:val="both"/>
        <w:rPr>
          <w:rFonts w:asciiTheme="majorHAnsi" w:hAnsiTheme="majorHAnsi" w:cs="Calibri"/>
          <w:sz w:val="22"/>
          <w:szCs w:val="22"/>
        </w:rPr>
      </w:pPr>
      <w:r w:rsidRPr="00A64AD5">
        <w:rPr>
          <w:rFonts w:asciiTheme="majorHAnsi" w:hAnsiTheme="majorHAnsi" w:cs="Calibri"/>
          <w:sz w:val="22"/>
          <w:szCs w:val="22"/>
        </w:rPr>
        <w:t>É o parecer.</w:t>
      </w:r>
    </w:p>
    <w:p w:rsidR="005B07E9" w:rsidRPr="00A64AD5" w:rsidRDefault="005B07E9" w:rsidP="005B07E9">
      <w:pPr>
        <w:jc w:val="center"/>
        <w:rPr>
          <w:rFonts w:asciiTheme="majorHAnsi" w:hAnsiTheme="majorHAnsi" w:cs="Calibri"/>
          <w:sz w:val="22"/>
          <w:szCs w:val="22"/>
        </w:rPr>
      </w:pPr>
      <w:r w:rsidRPr="00A64AD5">
        <w:rPr>
          <w:rFonts w:asciiTheme="majorHAnsi" w:hAnsiTheme="majorHAnsi" w:cs="Calibri"/>
          <w:sz w:val="22"/>
          <w:szCs w:val="22"/>
        </w:rPr>
        <w:t xml:space="preserve">Tangará da Serra-MT, </w:t>
      </w:r>
      <w:r w:rsidR="00520018">
        <w:rPr>
          <w:rFonts w:asciiTheme="majorHAnsi" w:hAnsiTheme="majorHAnsi" w:cs="Calibri"/>
          <w:sz w:val="22"/>
          <w:szCs w:val="22"/>
        </w:rPr>
        <w:t>02</w:t>
      </w:r>
      <w:r w:rsidRPr="00A64AD5">
        <w:rPr>
          <w:rFonts w:asciiTheme="majorHAnsi" w:hAnsiTheme="majorHAnsi" w:cs="Calibri"/>
          <w:sz w:val="22"/>
          <w:szCs w:val="22"/>
        </w:rPr>
        <w:t xml:space="preserve"> de </w:t>
      </w:r>
      <w:r w:rsidR="00520018">
        <w:rPr>
          <w:rFonts w:asciiTheme="majorHAnsi" w:hAnsiTheme="majorHAnsi" w:cs="Calibri"/>
          <w:sz w:val="22"/>
          <w:szCs w:val="22"/>
        </w:rPr>
        <w:t xml:space="preserve">Setembro </w:t>
      </w:r>
      <w:r w:rsidRPr="00A64AD5">
        <w:rPr>
          <w:rFonts w:asciiTheme="majorHAnsi" w:hAnsiTheme="majorHAnsi" w:cs="Calibri"/>
          <w:sz w:val="22"/>
          <w:szCs w:val="22"/>
        </w:rPr>
        <w:t>de 202</w:t>
      </w:r>
      <w:r>
        <w:rPr>
          <w:rFonts w:asciiTheme="majorHAnsi" w:hAnsiTheme="majorHAnsi" w:cs="Calibri"/>
          <w:sz w:val="22"/>
          <w:szCs w:val="22"/>
        </w:rPr>
        <w:t>2</w:t>
      </w:r>
      <w:r w:rsidRPr="00A64AD5">
        <w:rPr>
          <w:rFonts w:asciiTheme="majorHAnsi" w:hAnsiTheme="majorHAnsi" w:cs="Calibri"/>
          <w:sz w:val="22"/>
          <w:szCs w:val="22"/>
        </w:rPr>
        <w:t>.</w:t>
      </w:r>
    </w:p>
    <w:p w:rsidR="005B07E9" w:rsidRPr="00A64AD5" w:rsidRDefault="005B07E9" w:rsidP="005B07E9">
      <w:pPr>
        <w:jc w:val="center"/>
        <w:rPr>
          <w:rFonts w:asciiTheme="majorHAnsi" w:hAnsiTheme="majorHAnsi" w:cs="Calibri"/>
          <w:b/>
          <w:sz w:val="22"/>
          <w:szCs w:val="22"/>
        </w:rPr>
      </w:pPr>
    </w:p>
    <w:p w:rsidR="005B07E9" w:rsidRPr="00A64AD5" w:rsidRDefault="005B07E9" w:rsidP="005B07E9">
      <w:pPr>
        <w:jc w:val="center"/>
        <w:rPr>
          <w:rFonts w:asciiTheme="majorHAnsi" w:hAnsiTheme="majorHAnsi"/>
          <w:b/>
          <w:sz w:val="22"/>
          <w:szCs w:val="22"/>
        </w:rPr>
      </w:pPr>
      <w:r w:rsidRPr="00A64AD5">
        <w:rPr>
          <w:rFonts w:asciiTheme="majorHAnsi" w:hAnsiTheme="majorHAnsi"/>
          <w:b/>
          <w:sz w:val="22"/>
          <w:szCs w:val="22"/>
        </w:rPr>
        <w:t>_________________________________________________</w:t>
      </w:r>
    </w:p>
    <w:p w:rsidR="005B07E9" w:rsidRPr="00A64AD5" w:rsidRDefault="005B07E9" w:rsidP="005B07E9">
      <w:pPr>
        <w:jc w:val="center"/>
        <w:rPr>
          <w:rFonts w:asciiTheme="majorHAnsi" w:hAnsiTheme="majorHAnsi"/>
          <w:b/>
          <w:sz w:val="22"/>
          <w:szCs w:val="22"/>
        </w:rPr>
      </w:pPr>
      <w:r w:rsidRPr="00A64AD5">
        <w:rPr>
          <w:rFonts w:asciiTheme="majorHAnsi" w:hAnsiTheme="majorHAnsi"/>
          <w:b/>
          <w:sz w:val="22"/>
          <w:szCs w:val="22"/>
        </w:rPr>
        <w:t>LUCIANA DUARTE FELISBERTO</w:t>
      </w:r>
    </w:p>
    <w:p w:rsidR="00520018" w:rsidRDefault="005B07E9" w:rsidP="005B07E9">
      <w:pPr>
        <w:jc w:val="center"/>
        <w:rPr>
          <w:rFonts w:asciiTheme="majorHAnsi" w:hAnsiTheme="majorHAnsi"/>
          <w:b/>
          <w:sz w:val="22"/>
          <w:szCs w:val="22"/>
        </w:rPr>
      </w:pPr>
      <w:r w:rsidRPr="00A64AD5">
        <w:rPr>
          <w:rFonts w:asciiTheme="majorHAnsi" w:hAnsiTheme="majorHAnsi"/>
          <w:b/>
          <w:sz w:val="22"/>
          <w:szCs w:val="22"/>
        </w:rPr>
        <w:t>Coordenadora de Controle Interno</w:t>
      </w:r>
    </w:p>
    <w:p w:rsidR="005B07E9" w:rsidRPr="00A64AD5" w:rsidRDefault="005B07E9" w:rsidP="005B07E9">
      <w:pPr>
        <w:jc w:val="center"/>
        <w:rPr>
          <w:sz w:val="22"/>
          <w:szCs w:val="22"/>
        </w:rPr>
      </w:pPr>
      <w:r w:rsidRPr="00A64AD5">
        <w:rPr>
          <w:rFonts w:asciiTheme="majorHAnsi" w:hAnsiTheme="majorHAnsi"/>
          <w:b/>
          <w:sz w:val="22"/>
          <w:szCs w:val="22"/>
        </w:rPr>
        <w:t>CRC-MT 012737-0</w:t>
      </w:r>
    </w:p>
    <w:p w:rsidR="00350639" w:rsidRDefault="00350639"/>
    <w:sectPr w:rsidR="00350639" w:rsidSect="002D6EF4">
      <w:headerReference w:type="default" r:id="rId6"/>
      <w:footerReference w:type="default" r:id="rId7"/>
      <w:pgSz w:w="11906" w:h="16838"/>
      <w:pgMar w:top="567" w:right="113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8A7" w:rsidRDefault="006038A7" w:rsidP="005B07E9">
      <w:r>
        <w:separator/>
      </w:r>
    </w:p>
  </w:endnote>
  <w:endnote w:type="continuationSeparator" w:id="0">
    <w:p w:rsidR="006038A7" w:rsidRDefault="006038A7" w:rsidP="005B07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B2" w:rsidRDefault="00272F4E" w:rsidP="007422B2">
    <w:pPr>
      <w:autoSpaceDE w:val="0"/>
      <w:autoSpaceDN w:val="0"/>
      <w:adjustRightInd w:val="0"/>
      <w:jc w:val="center"/>
      <w:rPr>
        <w:rFonts w:cs="Calibri"/>
        <w:sz w:val="16"/>
        <w:szCs w:val="16"/>
      </w:rPr>
    </w:pPr>
    <w:r>
      <w:rPr>
        <w:rFonts w:cs="Calibri"/>
        <w:sz w:val="16"/>
        <w:szCs w:val="16"/>
      </w:rPr>
      <w:t>_______________________________________________________________________________________________________</w:t>
    </w:r>
  </w:p>
  <w:p w:rsidR="007422B2" w:rsidRPr="00A87426" w:rsidRDefault="00272F4E" w:rsidP="007422B2">
    <w:pPr>
      <w:autoSpaceDE w:val="0"/>
      <w:autoSpaceDN w:val="0"/>
      <w:adjustRightInd w:val="0"/>
      <w:jc w:val="center"/>
      <w:rPr>
        <w:rFonts w:cs="Calibri"/>
        <w:sz w:val="16"/>
        <w:szCs w:val="16"/>
      </w:rPr>
    </w:pPr>
    <w:r w:rsidRPr="00A87426">
      <w:rPr>
        <w:rFonts w:cs="Calibri"/>
        <w:sz w:val="16"/>
        <w:szCs w:val="16"/>
      </w:rPr>
      <w:t>“</w:t>
    </w:r>
    <w:r w:rsidRPr="00A87426">
      <w:rPr>
        <w:rFonts w:cs="Calibri"/>
        <w:color w:val="231F20"/>
        <w:sz w:val="16"/>
        <w:szCs w:val="16"/>
      </w:rPr>
      <w:t>O processo de controle interno deve, preferencialmente, ter caráter preventivo, ser exercido permanentemente e estar voltado para a correção de eventuais desvios em relação aos parâmetros estabelecidos, como instrumento auxiliar de gestão</w:t>
    </w:r>
    <w:r>
      <w:rPr>
        <w:rFonts w:cs="Calibri"/>
        <w:color w:val="231F20"/>
        <w:sz w:val="16"/>
        <w:szCs w:val="16"/>
      </w:rPr>
      <w:t>”</w:t>
    </w:r>
    <w:r w:rsidRPr="00A87426">
      <w:rPr>
        <w:rFonts w:cs="Calibri"/>
        <w:color w:val="231F20"/>
        <w:sz w:val="16"/>
        <w:szCs w:val="16"/>
      </w:rPr>
      <w:t>.</w:t>
    </w:r>
  </w:p>
  <w:p w:rsidR="007422B2" w:rsidRPr="00A87426" w:rsidRDefault="00272F4E" w:rsidP="007422B2">
    <w:pPr>
      <w:autoSpaceDE w:val="0"/>
      <w:autoSpaceDN w:val="0"/>
      <w:adjustRightInd w:val="0"/>
      <w:jc w:val="center"/>
      <w:rPr>
        <w:rFonts w:cs="Calibri"/>
        <w:b/>
        <w:sz w:val="16"/>
        <w:szCs w:val="16"/>
      </w:rPr>
    </w:pPr>
    <w:r w:rsidRPr="00A87426">
      <w:rPr>
        <w:rFonts w:cs="Calibri"/>
        <w:b/>
        <w:sz w:val="16"/>
        <w:szCs w:val="16"/>
      </w:rPr>
      <w:t xml:space="preserve">Rua Júlio Martinez Benevides, 195-S  -  </w:t>
    </w:r>
    <w:r w:rsidRPr="00A87426">
      <w:rPr>
        <w:rFonts w:cs="Calibri"/>
        <w:b/>
        <w:sz w:val="16"/>
        <w:szCs w:val="16"/>
      </w:rPr>
      <w:t> 65-3311-46</w:t>
    </w:r>
    <w:r>
      <w:rPr>
        <w:rFonts w:cs="Calibri"/>
        <w:b/>
        <w:sz w:val="16"/>
        <w:szCs w:val="16"/>
      </w:rPr>
      <w:t>26</w:t>
    </w:r>
    <w:r w:rsidRPr="00A87426">
      <w:rPr>
        <w:rFonts w:cs="Calibri"/>
        <w:b/>
        <w:sz w:val="16"/>
        <w:szCs w:val="16"/>
      </w:rPr>
      <w:t xml:space="preserve"> – 78300-000 Tangará da Serra-MT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8A7" w:rsidRDefault="006038A7" w:rsidP="005B07E9">
      <w:r>
        <w:separator/>
      </w:r>
    </w:p>
  </w:footnote>
  <w:footnote w:type="continuationSeparator" w:id="0">
    <w:p w:rsidR="006038A7" w:rsidRDefault="006038A7" w:rsidP="005B0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E9" w:rsidRPr="00BA6AE0" w:rsidRDefault="005B07E9" w:rsidP="005B07E9">
    <w:pPr>
      <w:pStyle w:val="Cabealho"/>
      <w:rPr>
        <w:rFonts w:ascii="Calibri" w:hAnsi="Calibri" w:cs="Calibri"/>
      </w:rPr>
    </w:pPr>
  </w:p>
  <w:tbl>
    <w:tblPr>
      <w:tblW w:w="0" w:type="auto"/>
      <w:tblBorders>
        <w:bottom w:val="single" w:sz="4" w:space="0" w:color="auto"/>
      </w:tblBorders>
      <w:tblCellMar>
        <w:left w:w="70" w:type="dxa"/>
        <w:right w:w="70" w:type="dxa"/>
      </w:tblCellMar>
      <w:tblLook w:val="0000"/>
    </w:tblPr>
    <w:tblGrid>
      <w:gridCol w:w="2420"/>
      <w:gridCol w:w="6791"/>
    </w:tblGrid>
    <w:tr w:rsidR="005B07E9" w:rsidRPr="00BA6AE0" w:rsidTr="00074B36">
      <w:tc>
        <w:tcPr>
          <w:tcW w:w="2420" w:type="dxa"/>
        </w:tcPr>
        <w:p w:rsidR="005B07E9" w:rsidRPr="00BA6AE0" w:rsidRDefault="005B07E9" w:rsidP="00074B36">
          <w:pPr>
            <w:pStyle w:val="Cabealho"/>
            <w:rPr>
              <w:rFonts w:ascii="Calibri" w:hAnsi="Calibri" w:cs="Calibri"/>
            </w:rPr>
          </w:pPr>
          <w:r w:rsidRPr="00BA6AE0">
            <w:rPr>
              <w:rFonts w:ascii="Calibri" w:hAnsi="Calibri" w:cs="Calibri"/>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73.5pt" o:ole="">
                <v:imagedata r:id="rId1" o:title=""/>
              </v:shape>
              <o:OLEObject Type="Embed" ProgID="PBrush" ShapeID="_x0000_i1025" DrawAspect="Content" ObjectID="_1723618945" r:id="rId2"/>
            </w:object>
          </w:r>
        </w:p>
        <w:p w:rsidR="005B07E9" w:rsidRPr="00BA6AE0" w:rsidRDefault="005B07E9" w:rsidP="00074B36">
          <w:pPr>
            <w:pStyle w:val="Cabealho"/>
            <w:jc w:val="center"/>
            <w:rPr>
              <w:rFonts w:ascii="Calibri" w:hAnsi="Calibri" w:cs="Calibri"/>
              <w:sz w:val="12"/>
            </w:rPr>
          </w:pPr>
          <w:r w:rsidRPr="00BA6AE0">
            <w:rPr>
              <w:rFonts w:ascii="Calibri" w:hAnsi="Calibri" w:cs="Calibri"/>
              <w:sz w:val="12"/>
            </w:rPr>
            <w:t>CONTROLADORIA INTERNA</w:t>
          </w:r>
        </w:p>
      </w:tc>
      <w:tc>
        <w:tcPr>
          <w:tcW w:w="6804" w:type="dxa"/>
        </w:tcPr>
        <w:p w:rsidR="005B07E9" w:rsidRPr="00BA6AE0" w:rsidRDefault="005B07E9" w:rsidP="00074B36">
          <w:pPr>
            <w:pStyle w:val="Cabealho"/>
            <w:jc w:val="center"/>
            <w:rPr>
              <w:rFonts w:ascii="Calibri" w:hAnsi="Calibri" w:cs="Calibri"/>
              <w:b/>
              <w:bCs/>
              <w:sz w:val="56"/>
              <w:szCs w:val="56"/>
            </w:rPr>
          </w:pPr>
          <w:r w:rsidRPr="00BA6AE0">
            <w:rPr>
              <w:rFonts w:ascii="Calibri" w:hAnsi="Calibri" w:cs="Calibri"/>
              <w:b/>
              <w:bCs/>
              <w:sz w:val="56"/>
              <w:szCs w:val="56"/>
            </w:rPr>
            <w:t>CÂMARA MUNICIPAL</w:t>
          </w:r>
        </w:p>
        <w:p w:rsidR="005B07E9" w:rsidRPr="00BA6AE0" w:rsidRDefault="005B07E9" w:rsidP="00074B36">
          <w:pPr>
            <w:pStyle w:val="Cabealho"/>
            <w:jc w:val="center"/>
            <w:rPr>
              <w:rFonts w:ascii="Calibri" w:hAnsi="Calibri" w:cs="Calibri"/>
              <w:sz w:val="30"/>
            </w:rPr>
          </w:pPr>
          <w:r w:rsidRPr="00BA6AE0">
            <w:rPr>
              <w:rFonts w:ascii="Calibri" w:hAnsi="Calibri" w:cs="Calibri"/>
              <w:sz w:val="30"/>
            </w:rPr>
            <w:t>Tangará da Serra - Mato Grosso</w:t>
          </w:r>
        </w:p>
        <w:p w:rsidR="005B07E9" w:rsidRPr="00BA6AE0" w:rsidRDefault="005B07E9" w:rsidP="00074B36">
          <w:pPr>
            <w:pStyle w:val="Cabealho"/>
            <w:jc w:val="center"/>
            <w:rPr>
              <w:rFonts w:ascii="Calibri" w:hAnsi="Calibri" w:cs="Calibri"/>
              <w:sz w:val="16"/>
              <w:szCs w:val="16"/>
              <w:u w:val="single"/>
            </w:rPr>
          </w:pPr>
        </w:p>
      </w:tc>
    </w:tr>
  </w:tbl>
  <w:p w:rsidR="005B07E9" w:rsidRDefault="005B07E9" w:rsidP="005B07E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B07E9"/>
    <w:rsid w:val="00272F4E"/>
    <w:rsid w:val="00350639"/>
    <w:rsid w:val="00520018"/>
    <w:rsid w:val="005B07E9"/>
    <w:rsid w:val="006038A7"/>
    <w:rsid w:val="00CC015B"/>
    <w:rsid w:val="00DD39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E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B07E9"/>
    <w:pPr>
      <w:tabs>
        <w:tab w:val="center" w:pos="4252"/>
        <w:tab w:val="right" w:pos="8504"/>
      </w:tabs>
    </w:pPr>
  </w:style>
  <w:style w:type="character" w:customStyle="1" w:styleId="CabealhoChar">
    <w:name w:val="Cabeçalho Char"/>
    <w:basedOn w:val="Fontepargpadro"/>
    <w:link w:val="Cabealho"/>
    <w:uiPriority w:val="99"/>
    <w:rsid w:val="005B07E9"/>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5B07E9"/>
    <w:pPr>
      <w:tabs>
        <w:tab w:val="center" w:pos="4252"/>
        <w:tab w:val="right" w:pos="8504"/>
      </w:tabs>
    </w:pPr>
  </w:style>
  <w:style w:type="character" w:customStyle="1" w:styleId="RodapChar">
    <w:name w:val="Rodapé Char"/>
    <w:basedOn w:val="Fontepargpadro"/>
    <w:link w:val="Rodap"/>
    <w:uiPriority w:val="99"/>
    <w:semiHidden/>
    <w:rsid w:val="005B07E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B07E9"/>
    <w:rPr>
      <w:rFonts w:ascii="Tahoma" w:hAnsi="Tahoma" w:cs="Tahoma"/>
      <w:sz w:val="16"/>
      <w:szCs w:val="16"/>
    </w:rPr>
  </w:style>
  <w:style w:type="character" w:customStyle="1" w:styleId="TextodebaloChar">
    <w:name w:val="Texto de balão Char"/>
    <w:basedOn w:val="Fontepargpadro"/>
    <w:link w:val="Textodebalo"/>
    <w:uiPriority w:val="99"/>
    <w:semiHidden/>
    <w:rsid w:val="005B07E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462</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2</cp:revision>
  <dcterms:created xsi:type="dcterms:W3CDTF">2022-09-02T13:56:00Z</dcterms:created>
  <dcterms:modified xsi:type="dcterms:W3CDTF">2022-09-02T14:16:00Z</dcterms:modified>
</cp:coreProperties>
</file>