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D0" w:rsidRPr="00D84610" w:rsidRDefault="00E250D0" w:rsidP="00E250D0">
      <w:pPr>
        <w:spacing w:after="120"/>
        <w:jc w:val="both"/>
        <w:rPr>
          <w:rFonts w:asciiTheme="majorHAnsi" w:hAnsiTheme="majorHAnsi"/>
          <w:b/>
          <w:sz w:val="24"/>
          <w:szCs w:val="24"/>
        </w:rPr>
      </w:pPr>
      <w:r w:rsidRPr="00D84610">
        <w:rPr>
          <w:rFonts w:asciiTheme="majorHAnsi" w:hAnsiTheme="majorHAnsi"/>
          <w:b/>
          <w:sz w:val="24"/>
          <w:szCs w:val="24"/>
        </w:rPr>
        <w:t>PARECER DO CONTROLE INTERNO Nº 00</w:t>
      </w:r>
      <w:r>
        <w:rPr>
          <w:rFonts w:asciiTheme="majorHAnsi" w:hAnsiTheme="majorHAnsi"/>
          <w:b/>
          <w:sz w:val="24"/>
          <w:szCs w:val="24"/>
        </w:rPr>
        <w:t>1/SCI-VI/2022</w:t>
      </w:r>
    </w:p>
    <w:p w:rsidR="00E250D0" w:rsidRPr="00D84610" w:rsidRDefault="00E250D0" w:rsidP="00E250D0">
      <w:pPr>
        <w:jc w:val="both"/>
        <w:rPr>
          <w:rFonts w:asciiTheme="majorHAnsi" w:hAnsiTheme="majorHAnsi" w:cs="Calibri"/>
          <w:b/>
          <w:sz w:val="24"/>
          <w:szCs w:val="24"/>
          <w:u w:val="single"/>
        </w:rPr>
      </w:pPr>
    </w:p>
    <w:p w:rsidR="00E250D0" w:rsidRPr="00D84610" w:rsidRDefault="00E250D0" w:rsidP="00E250D0">
      <w:pPr>
        <w:ind w:left="1620"/>
        <w:jc w:val="both"/>
        <w:rPr>
          <w:rFonts w:asciiTheme="majorHAnsi" w:hAnsiTheme="majorHAnsi" w:cs="Calibri"/>
          <w:b/>
          <w:sz w:val="24"/>
          <w:szCs w:val="24"/>
        </w:rPr>
      </w:pPr>
      <w:r w:rsidRPr="00D84610">
        <w:rPr>
          <w:rFonts w:asciiTheme="majorHAnsi" w:hAnsiTheme="majorHAnsi" w:cs="Calibri"/>
          <w:b/>
          <w:sz w:val="24"/>
          <w:szCs w:val="24"/>
        </w:rPr>
        <w:t>TRATA-SE DE PARECER ENVIADO A TESOURARIA DA CÂMARA MUNICIPAL, REFERENTE AO RESSARCIMENTO DE VERBA INDENIZATÓRIA D</w:t>
      </w:r>
      <w:r>
        <w:rPr>
          <w:rFonts w:asciiTheme="majorHAnsi" w:hAnsiTheme="majorHAnsi" w:cs="Calibri"/>
          <w:b/>
          <w:sz w:val="24"/>
          <w:szCs w:val="24"/>
        </w:rPr>
        <w:t xml:space="preserve">O </w:t>
      </w:r>
      <w:r w:rsidRPr="00D84610">
        <w:rPr>
          <w:rFonts w:asciiTheme="majorHAnsi" w:hAnsiTheme="majorHAnsi" w:cs="Calibri"/>
          <w:b/>
          <w:sz w:val="24"/>
          <w:szCs w:val="24"/>
        </w:rPr>
        <w:t xml:space="preserve">VEREADOR </w:t>
      </w:r>
      <w:r>
        <w:rPr>
          <w:rFonts w:asciiTheme="majorHAnsi" w:hAnsiTheme="majorHAnsi" w:cs="Calibri"/>
          <w:b/>
          <w:sz w:val="24"/>
          <w:szCs w:val="24"/>
        </w:rPr>
        <w:t>HORACIO PEREIRA</w:t>
      </w:r>
      <w:r w:rsidRPr="00D84610">
        <w:rPr>
          <w:rFonts w:asciiTheme="majorHAnsi" w:hAnsiTheme="majorHAnsi" w:cs="Calibri"/>
          <w:b/>
          <w:sz w:val="24"/>
          <w:szCs w:val="24"/>
        </w:rPr>
        <w:t>.</w:t>
      </w:r>
    </w:p>
    <w:p w:rsidR="00E250D0" w:rsidRPr="00D84610" w:rsidRDefault="00E250D0" w:rsidP="00E250D0">
      <w:pPr>
        <w:ind w:firstLine="709"/>
        <w:jc w:val="both"/>
        <w:rPr>
          <w:rFonts w:asciiTheme="majorHAnsi" w:hAnsiTheme="majorHAnsi" w:cs="Calibri"/>
          <w:sz w:val="24"/>
          <w:szCs w:val="24"/>
        </w:rPr>
      </w:pPr>
    </w:p>
    <w:p w:rsidR="00E250D0" w:rsidRPr="00A64AD5" w:rsidRDefault="00E250D0" w:rsidP="002027CD">
      <w:pPr>
        <w:ind w:firstLine="709"/>
        <w:jc w:val="both"/>
        <w:rPr>
          <w:rFonts w:asciiTheme="majorHAnsi" w:hAnsiTheme="majorHAnsi" w:cs="Calibri"/>
          <w:sz w:val="22"/>
          <w:szCs w:val="22"/>
        </w:rPr>
      </w:pPr>
      <w:r w:rsidRPr="00A64AD5">
        <w:rPr>
          <w:rFonts w:asciiTheme="majorHAnsi" w:hAnsiTheme="majorHAnsi" w:cs="Calibri"/>
          <w:sz w:val="22"/>
          <w:szCs w:val="22"/>
        </w:rPr>
        <w:t>Do ponto de vista da legalidade, a Lei 3.134/09 de 02/06/2009, que consolidou as regras que tratam da verba indenizatória, estabelece que esta verba seja destinada ao ressarcimento de despesas relacionadas com a atividade parlamentar, estipulando valor mensal de gastos e elencando as despesas</w:t>
      </w:r>
      <w:r w:rsidR="002027CD" w:rsidRPr="00A64AD5">
        <w:rPr>
          <w:rFonts w:asciiTheme="majorHAnsi" w:hAnsiTheme="majorHAnsi" w:cs="Calibri"/>
          <w:sz w:val="22"/>
          <w:szCs w:val="22"/>
        </w:rPr>
        <w:t xml:space="preserve"> passíveis de serem indenizadas:</w:t>
      </w:r>
    </w:p>
    <w:p w:rsidR="002027CD" w:rsidRDefault="002027CD" w:rsidP="002027CD">
      <w:pPr>
        <w:autoSpaceDE w:val="0"/>
        <w:autoSpaceDN w:val="0"/>
        <w:adjustRightInd w:val="0"/>
        <w:ind w:left="2268"/>
        <w:jc w:val="both"/>
        <w:rPr>
          <w:rFonts w:asciiTheme="majorHAnsi" w:eastAsiaTheme="minorHAnsi" w:hAnsiTheme="majorHAnsi" w:cs="Arial"/>
          <w:lang w:eastAsia="en-US"/>
        </w:rPr>
      </w:pPr>
    </w:p>
    <w:p w:rsidR="002027CD" w:rsidRPr="00A64AD5" w:rsidRDefault="002027CD" w:rsidP="002027CD">
      <w:pPr>
        <w:autoSpaceDE w:val="0"/>
        <w:autoSpaceDN w:val="0"/>
        <w:adjustRightInd w:val="0"/>
        <w:ind w:left="2268"/>
        <w:jc w:val="both"/>
        <w:rPr>
          <w:rFonts w:asciiTheme="majorHAnsi" w:eastAsiaTheme="minorHAnsi" w:hAnsiTheme="majorHAnsi" w:cs="Arial"/>
          <w:sz w:val="18"/>
          <w:szCs w:val="18"/>
          <w:lang w:eastAsia="en-US"/>
        </w:rPr>
      </w:pPr>
      <w:r w:rsidRPr="00A64AD5">
        <w:rPr>
          <w:rFonts w:asciiTheme="majorHAnsi" w:eastAsiaTheme="minorHAnsi" w:hAnsiTheme="majorHAnsi" w:cs="Arial"/>
          <w:b/>
          <w:sz w:val="18"/>
          <w:szCs w:val="18"/>
          <w:lang w:eastAsia="en-US"/>
        </w:rPr>
        <w:t xml:space="preserve">Art. 1º </w:t>
      </w:r>
      <w:r w:rsidRPr="00A64AD5">
        <w:rPr>
          <w:rFonts w:asciiTheme="majorHAnsi" w:eastAsiaTheme="minorHAnsi" w:hAnsiTheme="majorHAnsi" w:cs="Arial"/>
          <w:sz w:val="18"/>
          <w:szCs w:val="18"/>
          <w:lang w:eastAsia="en-US"/>
        </w:rPr>
        <w:t xml:space="preserve">- A verba de natureza indenizatória, instituída por lei no âmbito do Poder Legislativo Municipal, é destinada ao ressarcimento de despesas relacionadas às atividades parlamentares, até o limite mensal de R$ 2.650,00 (dois mil seiscentos e </w:t>
      </w:r>
      <w:r w:rsidR="00424FAB" w:rsidRPr="00A64AD5">
        <w:rPr>
          <w:rFonts w:asciiTheme="majorHAnsi" w:eastAsiaTheme="minorHAnsi" w:hAnsiTheme="majorHAnsi" w:cs="Arial"/>
          <w:sz w:val="18"/>
          <w:szCs w:val="18"/>
          <w:lang w:eastAsia="en-US"/>
        </w:rPr>
        <w:t>cinqüenta</w:t>
      </w:r>
      <w:r w:rsidRPr="00A64AD5">
        <w:rPr>
          <w:rFonts w:asciiTheme="majorHAnsi" w:eastAsiaTheme="minorHAnsi" w:hAnsiTheme="majorHAnsi" w:cs="Arial"/>
          <w:sz w:val="18"/>
          <w:szCs w:val="18"/>
          <w:lang w:eastAsia="en-US"/>
        </w:rPr>
        <w:t xml:space="preserve"> reais), por parlamentar, não podendo ultrapassar o limite de R$ 31.800,00 (trinta e um mil e oitocentos reais) por ano.</w:t>
      </w:r>
    </w:p>
    <w:p w:rsidR="002027CD" w:rsidRPr="00A64AD5" w:rsidRDefault="002027CD" w:rsidP="002027CD">
      <w:pPr>
        <w:autoSpaceDE w:val="0"/>
        <w:autoSpaceDN w:val="0"/>
        <w:adjustRightInd w:val="0"/>
        <w:ind w:left="2268"/>
        <w:jc w:val="both"/>
        <w:rPr>
          <w:rFonts w:asciiTheme="majorHAnsi" w:hAnsiTheme="majorHAnsi" w:cs="Calibri"/>
          <w:sz w:val="18"/>
          <w:szCs w:val="18"/>
        </w:rPr>
      </w:pPr>
      <w:r w:rsidRPr="00A64AD5">
        <w:rPr>
          <w:rFonts w:asciiTheme="majorHAnsi" w:eastAsiaTheme="minorHAnsi" w:hAnsiTheme="majorHAnsi" w:cs="Arial"/>
          <w:b/>
          <w:sz w:val="18"/>
          <w:szCs w:val="18"/>
          <w:lang w:eastAsia="en-US"/>
        </w:rPr>
        <w:t xml:space="preserve">§ 2º </w:t>
      </w:r>
      <w:r w:rsidRPr="00A64AD5">
        <w:rPr>
          <w:rFonts w:asciiTheme="majorHAnsi" w:eastAsiaTheme="minorHAnsi" w:hAnsiTheme="majorHAnsi" w:cs="Arial"/>
          <w:sz w:val="18"/>
          <w:szCs w:val="18"/>
          <w:lang w:eastAsia="en-US"/>
        </w:rPr>
        <w:t>Considera-se atividade parlamentar para ensejo à percepção da verba indenizatória aquelas relacionadas com representação dos interesses sociais, fiscalização institucional, legislação, bem como todas aquelas de caráter cultural ou político onde haja interesse público. (Redação dada pela Lei nº 4636/2016).</w:t>
      </w:r>
    </w:p>
    <w:p w:rsidR="002027CD" w:rsidRDefault="002027CD" w:rsidP="002027CD">
      <w:pPr>
        <w:ind w:firstLine="709"/>
        <w:jc w:val="both"/>
        <w:rPr>
          <w:rFonts w:asciiTheme="majorHAnsi" w:hAnsiTheme="majorHAnsi" w:cs="Calibri"/>
          <w:sz w:val="24"/>
          <w:szCs w:val="24"/>
        </w:rPr>
      </w:pPr>
    </w:p>
    <w:p w:rsidR="00FE2CFB" w:rsidRPr="00A64AD5" w:rsidRDefault="00FE2CFB" w:rsidP="002027CD">
      <w:pPr>
        <w:ind w:firstLine="709"/>
        <w:jc w:val="both"/>
        <w:rPr>
          <w:rFonts w:asciiTheme="majorHAnsi" w:hAnsiTheme="majorHAnsi" w:cs="Calibri"/>
          <w:sz w:val="22"/>
          <w:szCs w:val="22"/>
        </w:rPr>
      </w:pPr>
      <w:r w:rsidRPr="00A64AD5">
        <w:rPr>
          <w:rFonts w:asciiTheme="majorHAnsi" w:hAnsiTheme="majorHAnsi" w:cs="Calibri"/>
          <w:sz w:val="22"/>
          <w:szCs w:val="22"/>
        </w:rPr>
        <w:t>O papel do vereador</w:t>
      </w:r>
      <w:r w:rsidR="00A64AD5" w:rsidRPr="00A64AD5">
        <w:rPr>
          <w:rFonts w:asciiTheme="majorHAnsi" w:hAnsiTheme="majorHAnsi" w:cs="Calibri"/>
          <w:sz w:val="22"/>
          <w:szCs w:val="22"/>
        </w:rPr>
        <w:t xml:space="preserve"> é</w:t>
      </w:r>
      <w:r w:rsidRPr="00A64AD5">
        <w:rPr>
          <w:rFonts w:asciiTheme="majorHAnsi" w:hAnsiTheme="majorHAnsi" w:cs="Calibri"/>
          <w:sz w:val="22"/>
          <w:szCs w:val="22"/>
        </w:rPr>
        <w:t xml:space="preserve">, precipuamente, legislar e fiscalizar as ações do Executivo. Para desenvolver essas atividades, as despesas ocorridas, podem ser ressarcidas com a verba indenizatória, desde que essa correlação seja justificada e motivada. </w:t>
      </w:r>
    </w:p>
    <w:p w:rsidR="005F1A56" w:rsidRPr="00A64AD5" w:rsidRDefault="005F1A56" w:rsidP="005F1A56">
      <w:pPr>
        <w:autoSpaceDE w:val="0"/>
        <w:autoSpaceDN w:val="0"/>
        <w:adjustRightInd w:val="0"/>
        <w:ind w:firstLine="708"/>
        <w:jc w:val="both"/>
        <w:rPr>
          <w:rFonts w:asciiTheme="majorHAnsi" w:hAnsiTheme="majorHAnsi" w:cs="Calibri"/>
          <w:sz w:val="22"/>
          <w:szCs w:val="22"/>
        </w:rPr>
      </w:pPr>
      <w:r w:rsidRPr="00A64AD5">
        <w:rPr>
          <w:rFonts w:asciiTheme="majorHAnsi" w:hAnsiTheme="majorHAnsi" w:cs="Calibri"/>
          <w:sz w:val="22"/>
          <w:szCs w:val="22"/>
        </w:rPr>
        <w:t>Em função de suas atividades, o</w:t>
      </w:r>
      <w:r w:rsidR="00FE2CFB" w:rsidRPr="00A64AD5">
        <w:rPr>
          <w:rFonts w:asciiTheme="majorHAnsi" w:hAnsiTheme="majorHAnsi" w:cs="Calibri"/>
          <w:sz w:val="22"/>
          <w:szCs w:val="22"/>
        </w:rPr>
        <w:t xml:space="preserve"> vereador Horacio Pereira apresentou a Nota Fiscal </w:t>
      </w:r>
      <w:r w:rsidRPr="00A64AD5">
        <w:rPr>
          <w:rFonts w:asciiTheme="majorHAnsi" w:hAnsiTheme="majorHAnsi" w:cs="Calibri"/>
          <w:sz w:val="22"/>
          <w:szCs w:val="22"/>
        </w:rPr>
        <w:t xml:space="preserve">de Prestação de Serviços </w:t>
      </w:r>
      <w:r w:rsidR="00FE2CFB" w:rsidRPr="00A64AD5">
        <w:rPr>
          <w:rFonts w:asciiTheme="majorHAnsi" w:hAnsiTheme="majorHAnsi" w:cs="Calibri"/>
          <w:sz w:val="22"/>
          <w:szCs w:val="22"/>
        </w:rPr>
        <w:t>nº 165 – serie B da empresa Everealdo Roqueti, CNPJ: 13.373.596/0001-17</w:t>
      </w:r>
      <w:r w:rsidRPr="00A64AD5">
        <w:rPr>
          <w:rFonts w:asciiTheme="majorHAnsi" w:hAnsiTheme="majorHAnsi" w:cs="Calibri"/>
          <w:sz w:val="22"/>
          <w:szCs w:val="22"/>
        </w:rPr>
        <w:t xml:space="preserve">, do dia 21/06/2022, no valor de R$ 400,00 (quatrocentos reais), cujo serviço realizado foi de funilaria e pintura no veiculo Argo QCX-5347. </w:t>
      </w:r>
    </w:p>
    <w:p w:rsidR="00FE2CFB" w:rsidRPr="00A64AD5" w:rsidRDefault="005F1A56" w:rsidP="005F1A56">
      <w:pPr>
        <w:autoSpaceDE w:val="0"/>
        <w:autoSpaceDN w:val="0"/>
        <w:adjustRightInd w:val="0"/>
        <w:ind w:firstLine="708"/>
        <w:jc w:val="both"/>
        <w:rPr>
          <w:rFonts w:asciiTheme="majorHAnsi" w:eastAsiaTheme="minorHAnsi" w:hAnsiTheme="majorHAnsi" w:cs="Arial-BoldMT"/>
          <w:bCs/>
          <w:sz w:val="22"/>
          <w:szCs w:val="22"/>
          <w:lang w:eastAsia="en-US"/>
        </w:rPr>
      </w:pPr>
      <w:r w:rsidRPr="00A64AD5">
        <w:rPr>
          <w:rFonts w:asciiTheme="majorHAnsi" w:hAnsiTheme="majorHAnsi" w:cs="Calibri"/>
          <w:sz w:val="22"/>
          <w:szCs w:val="22"/>
        </w:rPr>
        <w:t xml:space="preserve">Contudo, este serviço está suspenso, pois o Tribunal de Contas do Estado de Mato Grosso suscitou o incidente de inconstitucionalidade </w:t>
      </w:r>
      <w:r w:rsidRPr="00A64AD5">
        <w:rPr>
          <w:rFonts w:asciiTheme="majorHAnsi" w:eastAsiaTheme="minorHAnsi" w:hAnsiTheme="majorHAnsi" w:cs="ArialMT"/>
          <w:sz w:val="22"/>
          <w:szCs w:val="22"/>
          <w:lang w:eastAsia="en-US"/>
        </w:rPr>
        <w:t xml:space="preserve">referente à Lei nº 3.752/12 pelos seus efeitos retroativos, nos termos do art. 239 c/c o inc. IV do art. 29 do Regimento Interno do Tribunal de Contas de MT, que abrangia serviços de funilaria e pintura, desde 2012, através do Processo </w:t>
      </w:r>
      <w:r w:rsidRPr="00A64AD5">
        <w:rPr>
          <w:rFonts w:asciiTheme="majorHAnsi" w:eastAsiaTheme="minorHAnsi" w:hAnsiTheme="majorHAnsi" w:cs="Arial-BoldMT"/>
          <w:bCs/>
          <w:sz w:val="22"/>
          <w:szCs w:val="22"/>
          <w:lang w:eastAsia="en-US"/>
        </w:rPr>
        <w:t>10.255-5/2012 – Contas Anuais de Gestão 2012. Não podendo</w:t>
      </w:r>
      <w:r w:rsidR="00EC274B" w:rsidRPr="00A64AD5">
        <w:rPr>
          <w:rFonts w:asciiTheme="majorHAnsi" w:eastAsiaTheme="minorHAnsi" w:hAnsiTheme="majorHAnsi" w:cs="Arial-BoldMT"/>
          <w:bCs/>
          <w:sz w:val="22"/>
          <w:szCs w:val="22"/>
          <w:lang w:eastAsia="en-US"/>
        </w:rPr>
        <w:t>,</w:t>
      </w:r>
      <w:r w:rsidRPr="00A64AD5">
        <w:rPr>
          <w:rFonts w:asciiTheme="majorHAnsi" w:eastAsiaTheme="minorHAnsi" w:hAnsiTheme="majorHAnsi" w:cs="Arial-BoldMT"/>
          <w:bCs/>
          <w:sz w:val="22"/>
          <w:szCs w:val="22"/>
          <w:lang w:eastAsia="en-US"/>
        </w:rPr>
        <w:t xml:space="preserve"> desta forma</w:t>
      </w:r>
      <w:r w:rsidR="00EC274B" w:rsidRPr="00A64AD5">
        <w:rPr>
          <w:rFonts w:asciiTheme="majorHAnsi" w:eastAsiaTheme="minorHAnsi" w:hAnsiTheme="majorHAnsi" w:cs="Arial-BoldMT"/>
          <w:bCs/>
          <w:sz w:val="22"/>
          <w:szCs w:val="22"/>
          <w:lang w:eastAsia="en-US"/>
        </w:rPr>
        <w:t>,</w:t>
      </w:r>
      <w:r w:rsidRPr="00A64AD5">
        <w:rPr>
          <w:rFonts w:asciiTheme="majorHAnsi" w:eastAsiaTheme="minorHAnsi" w:hAnsiTheme="majorHAnsi" w:cs="Arial-BoldMT"/>
          <w:bCs/>
          <w:sz w:val="22"/>
          <w:szCs w:val="22"/>
          <w:lang w:eastAsia="en-US"/>
        </w:rPr>
        <w:t xml:space="preserve"> ser ressarcida pela verba indenizatória.</w:t>
      </w:r>
    </w:p>
    <w:p w:rsidR="00424FAB" w:rsidRPr="00A64AD5" w:rsidRDefault="00424FAB" w:rsidP="005F1A56">
      <w:pPr>
        <w:autoSpaceDE w:val="0"/>
        <w:autoSpaceDN w:val="0"/>
        <w:adjustRightInd w:val="0"/>
        <w:ind w:firstLine="708"/>
        <w:jc w:val="both"/>
        <w:rPr>
          <w:rFonts w:asciiTheme="majorHAnsi" w:hAnsiTheme="majorHAnsi" w:cs="Calibri"/>
          <w:b/>
          <w:sz w:val="22"/>
          <w:szCs w:val="22"/>
        </w:rPr>
      </w:pPr>
      <w:r w:rsidRPr="00A64AD5">
        <w:rPr>
          <w:rFonts w:asciiTheme="majorHAnsi" w:eastAsiaTheme="minorHAnsi" w:hAnsiTheme="majorHAnsi" w:cs="Arial-BoldMT"/>
          <w:bCs/>
          <w:sz w:val="22"/>
          <w:szCs w:val="22"/>
          <w:lang w:eastAsia="en-US"/>
        </w:rPr>
        <w:t xml:space="preserve">Outro ponto que merece atenção </w:t>
      </w:r>
      <w:r w:rsidR="00A64AD5" w:rsidRPr="00A64AD5">
        <w:rPr>
          <w:rFonts w:asciiTheme="majorHAnsi" w:eastAsiaTheme="minorHAnsi" w:hAnsiTheme="majorHAnsi" w:cs="Arial-BoldMT"/>
          <w:bCs/>
          <w:sz w:val="22"/>
          <w:szCs w:val="22"/>
          <w:lang w:eastAsia="en-US"/>
        </w:rPr>
        <w:t>são os gastos com combustível, sendo justificado pelo acompanhamento do Deputado Elizeu Nascimento, que configura atividades de assessoramento do deputado, e não atividade parlamentar de vereador. Nesse contexto, sugerimos que o Vereador Horacio Pereira somente solicite o ressarcimento das despesas diretamente ligadas as suas atividades parlamentares municipais, para não incorrer em nenhuma irregularidade ou ilegalidade.</w:t>
      </w:r>
    </w:p>
    <w:p w:rsidR="00FE2CFB" w:rsidRPr="00A64AD5" w:rsidRDefault="00FE2CFB" w:rsidP="002027CD">
      <w:pPr>
        <w:ind w:firstLine="709"/>
        <w:jc w:val="both"/>
        <w:rPr>
          <w:rFonts w:asciiTheme="majorHAnsi" w:hAnsiTheme="majorHAnsi" w:cs="Calibri"/>
          <w:sz w:val="22"/>
          <w:szCs w:val="22"/>
        </w:rPr>
      </w:pPr>
    </w:p>
    <w:p w:rsidR="00E250D0" w:rsidRPr="00A64AD5" w:rsidRDefault="00E250D0" w:rsidP="00E250D0">
      <w:pPr>
        <w:spacing w:after="120"/>
        <w:ind w:firstLine="709"/>
        <w:jc w:val="both"/>
        <w:rPr>
          <w:rFonts w:asciiTheme="majorHAnsi" w:hAnsiTheme="majorHAnsi" w:cs="Calibri"/>
          <w:sz w:val="22"/>
          <w:szCs w:val="22"/>
        </w:rPr>
      </w:pPr>
      <w:r w:rsidRPr="00A64AD5">
        <w:rPr>
          <w:rFonts w:asciiTheme="majorHAnsi" w:hAnsiTheme="majorHAnsi" w:cs="Calibri"/>
          <w:sz w:val="22"/>
          <w:szCs w:val="22"/>
        </w:rPr>
        <w:t>É o parecer.</w:t>
      </w:r>
    </w:p>
    <w:p w:rsidR="00E250D0" w:rsidRPr="00A64AD5" w:rsidRDefault="00E250D0" w:rsidP="00E250D0">
      <w:pPr>
        <w:jc w:val="center"/>
        <w:rPr>
          <w:rFonts w:asciiTheme="majorHAnsi" w:hAnsiTheme="majorHAnsi" w:cs="Calibri"/>
          <w:sz w:val="22"/>
          <w:szCs w:val="22"/>
        </w:rPr>
      </w:pPr>
      <w:r w:rsidRPr="00A64AD5">
        <w:rPr>
          <w:rFonts w:asciiTheme="majorHAnsi" w:hAnsiTheme="majorHAnsi" w:cs="Calibri"/>
          <w:sz w:val="22"/>
          <w:szCs w:val="22"/>
        </w:rPr>
        <w:t>Tangará da Serra-MT, 0</w:t>
      </w:r>
      <w:r w:rsidR="00A64AD5">
        <w:rPr>
          <w:rFonts w:asciiTheme="majorHAnsi" w:hAnsiTheme="majorHAnsi" w:cs="Calibri"/>
          <w:sz w:val="22"/>
          <w:szCs w:val="22"/>
        </w:rPr>
        <w:t>4</w:t>
      </w:r>
      <w:r w:rsidRPr="00A64AD5">
        <w:rPr>
          <w:rFonts w:asciiTheme="majorHAnsi" w:hAnsiTheme="majorHAnsi" w:cs="Calibri"/>
          <w:sz w:val="22"/>
          <w:szCs w:val="22"/>
        </w:rPr>
        <w:t xml:space="preserve"> de </w:t>
      </w:r>
      <w:r w:rsidR="00A64AD5">
        <w:rPr>
          <w:rFonts w:asciiTheme="majorHAnsi" w:hAnsiTheme="majorHAnsi" w:cs="Calibri"/>
          <w:sz w:val="22"/>
          <w:szCs w:val="22"/>
        </w:rPr>
        <w:t>Julho</w:t>
      </w:r>
      <w:r w:rsidRPr="00A64AD5">
        <w:rPr>
          <w:rFonts w:asciiTheme="majorHAnsi" w:hAnsiTheme="majorHAnsi" w:cs="Calibri"/>
          <w:sz w:val="22"/>
          <w:szCs w:val="22"/>
        </w:rPr>
        <w:t xml:space="preserve"> de 202</w:t>
      </w:r>
      <w:r w:rsidR="00A64AD5">
        <w:rPr>
          <w:rFonts w:asciiTheme="majorHAnsi" w:hAnsiTheme="majorHAnsi" w:cs="Calibri"/>
          <w:sz w:val="22"/>
          <w:szCs w:val="22"/>
        </w:rPr>
        <w:t>2</w:t>
      </w:r>
      <w:r w:rsidRPr="00A64AD5">
        <w:rPr>
          <w:rFonts w:asciiTheme="majorHAnsi" w:hAnsiTheme="majorHAnsi" w:cs="Calibri"/>
          <w:sz w:val="22"/>
          <w:szCs w:val="22"/>
        </w:rPr>
        <w:t>.</w:t>
      </w:r>
    </w:p>
    <w:p w:rsidR="00E250D0" w:rsidRPr="00A64AD5" w:rsidRDefault="00E250D0" w:rsidP="00E250D0">
      <w:pPr>
        <w:jc w:val="center"/>
        <w:rPr>
          <w:rFonts w:asciiTheme="majorHAnsi" w:hAnsiTheme="majorHAnsi" w:cs="Calibri"/>
          <w:b/>
          <w:sz w:val="22"/>
          <w:szCs w:val="22"/>
        </w:rPr>
      </w:pPr>
    </w:p>
    <w:p w:rsidR="00E250D0" w:rsidRPr="00A64AD5" w:rsidRDefault="00E250D0" w:rsidP="00E250D0">
      <w:pPr>
        <w:jc w:val="center"/>
        <w:rPr>
          <w:rFonts w:asciiTheme="majorHAnsi" w:hAnsiTheme="majorHAnsi"/>
          <w:b/>
          <w:sz w:val="22"/>
          <w:szCs w:val="22"/>
        </w:rPr>
      </w:pPr>
      <w:r w:rsidRPr="00A64AD5">
        <w:rPr>
          <w:rFonts w:asciiTheme="majorHAnsi" w:hAnsiTheme="majorHAnsi"/>
          <w:b/>
          <w:sz w:val="22"/>
          <w:szCs w:val="22"/>
        </w:rPr>
        <w:t>_________________________________________________</w:t>
      </w:r>
    </w:p>
    <w:p w:rsidR="00E250D0" w:rsidRPr="00A64AD5" w:rsidRDefault="00E250D0" w:rsidP="00E250D0">
      <w:pPr>
        <w:jc w:val="center"/>
        <w:rPr>
          <w:rFonts w:asciiTheme="majorHAnsi" w:hAnsiTheme="majorHAnsi"/>
          <w:b/>
          <w:sz w:val="22"/>
          <w:szCs w:val="22"/>
        </w:rPr>
      </w:pPr>
      <w:r w:rsidRPr="00A64AD5">
        <w:rPr>
          <w:rFonts w:asciiTheme="majorHAnsi" w:hAnsiTheme="majorHAnsi"/>
          <w:b/>
          <w:sz w:val="22"/>
          <w:szCs w:val="22"/>
        </w:rPr>
        <w:t>LUCIANA DUARTE FELISBERTO</w:t>
      </w:r>
    </w:p>
    <w:p w:rsidR="00E250D0" w:rsidRPr="00A64AD5" w:rsidRDefault="00E250D0" w:rsidP="00E250D0">
      <w:pPr>
        <w:jc w:val="center"/>
        <w:rPr>
          <w:rFonts w:asciiTheme="majorHAnsi" w:hAnsiTheme="majorHAnsi"/>
          <w:b/>
          <w:sz w:val="22"/>
          <w:szCs w:val="22"/>
        </w:rPr>
      </w:pPr>
      <w:r w:rsidRPr="00A64AD5">
        <w:rPr>
          <w:rFonts w:asciiTheme="majorHAnsi" w:hAnsiTheme="majorHAnsi"/>
          <w:b/>
          <w:sz w:val="22"/>
          <w:szCs w:val="22"/>
        </w:rPr>
        <w:t>Coordenadora de Controle Interno</w:t>
      </w:r>
    </w:p>
    <w:p w:rsidR="00A35F5C" w:rsidRPr="00A64AD5" w:rsidRDefault="00E250D0" w:rsidP="00A64AD5">
      <w:pPr>
        <w:jc w:val="center"/>
        <w:rPr>
          <w:sz w:val="22"/>
          <w:szCs w:val="22"/>
        </w:rPr>
      </w:pPr>
      <w:r w:rsidRPr="00A64AD5">
        <w:rPr>
          <w:rFonts w:asciiTheme="majorHAnsi" w:hAnsiTheme="majorHAnsi"/>
          <w:b/>
          <w:sz w:val="22"/>
          <w:szCs w:val="22"/>
        </w:rPr>
        <w:t>CRC-MT 012737-0</w:t>
      </w:r>
    </w:p>
    <w:sectPr w:rsidR="00A35F5C" w:rsidRPr="00A64AD5" w:rsidSect="002D6EF4">
      <w:headerReference w:type="default" r:id="rId6"/>
      <w:footerReference w:type="default" r:id="rId7"/>
      <w:pgSz w:w="11906" w:h="16838"/>
      <w:pgMar w:top="567" w:right="113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8D" w:rsidRDefault="001A338D" w:rsidP="00E250D0">
      <w:r>
        <w:separator/>
      </w:r>
    </w:p>
  </w:endnote>
  <w:endnote w:type="continuationSeparator" w:id="0">
    <w:p w:rsidR="001A338D" w:rsidRDefault="001A338D" w:rsidP="00E250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B2" w:rsidRDefault="0032625F" w:rsidP="007422B2">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7422B2" w:rsidRPr="00A87426" w:rsidRDefault="0032625F" w:rsidP="007422B2">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7422B2" w:rsidRPr="00A87426" w:rsidRDefault="0032625F" w:rsidP="007422B2">
    <w:pPr>
      <w:autoSpaceDE w:val="0"/>
      <w:autoSpaceDN w:val="0"/>
      <w:adjustRightInd w:val="0"/>
      <w:jc w:val="center"/>
      <w:rPr>
        <w:rFonts w:cs="Calibri"/>
        <w:b/>
        <w:sz w:val="16"/>
        <w:szCs w:val="16"/>
      </w:rPr>
    </w:pPr>
    <w:r w:rsidRPr="00A87426">
      <w:rPr>
        <w:rFonts w:cs="Calibri"/>
        <w:b/>
        <w:sz w:val="16"/>
        <w:szCs w:val="16"/>
      </w:rPr>
      <w:t xml:space="preserve">Rua Júlio Martinez Benevides, 195-S  -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8D" w:rsidRDefault="001A338D" w:rsidP="00E250D0">
      <w:r>
        <w:separator/>
      </w:r>
    </w:p>
  </w:footnote>
  <w:footnote w:type="continuationSeparator" w:id="0">
    <w:p w:rsidR="001A338D" w:rsidRDefault="001A338D" w:rsidP="00E25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D0" w:rsidRPr="00BA6AE0" w:rsidRDefault="00E250D0" w:rsidP="00E250D0">
    <w:pPr>
      <w:pStyle w:val="Cabealho"/>
      <w:rPr>
        <w:rFonts w:ascii="Calibri" w:hAnsi="Calibri" w:cs="Calibri"/>
      </w:rPr>
    </w:pPr>
  </w:p>
  <w:tbl>
    <w:tblPr>
      <w:tblW w:w="0" w:type="auto"/>
      <w:tblBorders>
        <w:bottom w:val="single" w:sz="4" w:space="0" w:color="auto"/>
      </w:tblBorders>
      <w:tblCellMar>
        <w:left w:w="70" w:type="dxa"/>
        <w:right w:w="70" w:type="dxa"/>
      </w:tblCellMar>
      <w:tblLook w:val="0000"/>
    </w:tblPr>
    <w:tblGrid>
      <w:gridCol w:w="2420"/>
      <w:gridCol w:w="6791"/>
    </w:tblGrid>
    <w:tr w:rsidR="00E250D0" w:rsidRPr="00BA6AE0" w:rsidTr="00F37E29">
      <w:tc>
        <w:tcPr>
          <w:tcW w:w="2420" w:type="dxa"/>
        </w:tcPr>
        <w:p w:rsidR="00E250D0" w:rsidRPr="00BA6AE0" w:rsidRDefault="00E250D0" w:rsidP="00F37E29">
          <w:pPr>
            <w:pStyle w:val="Cabealho"/>
            <w:rPr>
              <w:rFonts w:ascii="Calibri" w:hAnsi="Calibri" w:cs="Calibri"/>
            </w:rPr>
          </w:pPr>
          <w:r w:rsidRPr="00BA6AE0">
            <w:rPr>
              <w:rFonts w:ascii="Calibri" w:hAnsi="Calibri"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3.5pt" o:ole="">
                <v:imagedata r:id="rId1" o:title=""/>
              </v:shape>
              <o:OLEObject Type="Embed" ProgID="PBrush" ShapeID="_x0000_i1025" DrawAspect="Content" ObjectID="_1718446416" r:id="rId2"/>
            </w:object>
          </w:r>
        </w:p>
        <w:p w:rsidR="00E250D0" w:rsidRPr="00BA6AE0" w:rsidRDefault="00E250D0" w:rsidP="00F37E29">
          <w:pPr>
            <w:pStyle w:val="Cabealho"/>
            <w:jc w:val="center"/>
            <w:rPr>
              <w:rFonts w:ascii="Calibri" w:hAnsi="Calibri" w:cs="Calibri"/>
              <w:sz w:val="12"/>
            </w:rPr>
          </w:pPr>
          <w:r w:rsidRPr="00BA6AE0">
            <w:rPr>
              <w:rFonts w:ascii="Calibri" w:hAnsi="Calibri" w:cs="Calibri"/>
              <w:sz w:val="12"/>
            </w:rPr>
            <w:t>CONTROLADORIA INTERNA</w:t>
          </w:r>
        </w:p>
      </w:tc>
      <w:tc>
        <w:tcPr>
          <w:tcW w:w="6804" w:type="dxa"/>
        </w:tcPr>
        <w:p w:rsidR="00E250D0" w:rsidRPr="00BA6AE0" w:rsidRDefault="00E250D0" w:rsidP="00F37E29">
          <w:pPr>
            <w:pStyle w:val="Cabealho"/>
            <w:jc w:val="center"/>
            <w:rPr>
              <w:rFonts w:ascii="Calibri" w:hAnsi="Calibri" w:cs="Calibri"/>
              <w:b/>
              <w:bCs/>
              <w:sz w:val="56"/>
              <w:szCs w:val="56"/>
            </w:rPr>
          </w:pPr>
          <w:r w:rsidRPr="00BA6AE0">
            <w:rPr>
              <w:rFonts w:ascii="Calibri" w:hAnsi="Calibri" w:cs="Calibri"/>
              <w:b/>
              <w:bCs/>
              <w:sz w:val="56"/>
              <w:szCs w:val="56"/>
            </w:rPr>
            <w:t>CÂMARA MUNICIPAL</w:t>
          </w:r>
        </w:p>
        <w:p w:rsidR="00E250D0" w:rsidRPr="00BA6AE0" w:rsidRDefault="00E250D0" w:rsidP="00F37E29">
          <w:pPr>
            <w:pStyle w:val="Cabealho"/>
            <w:jc w:val="center"/>
            <w:rPr>
              <w:rFonts w:ascii="Calibri" w:hAnsi="Calibri" w:cs="Calibri"/>
              <w:sz w:val="30"/>
            </w:rPr>
          </w:pPr>
          <w:r w:rsidRPr="00BA6AE0">
            <w:rPr>
              <w:rFonts w:ascii="Calibri" w:hAnsi="Calibri" w:cs="Calibri"/>
              <w:sz w:val="30"/>
            </w:rPr>
            <w:t>Tangará da Serra - Mato Grosso</w:t>
          </w:r>
        </w:p>
        <w:p w:rsidR="00E250D0" w:rsidRPr="00BA6AE0" w:rsidRDefault="00E250D0" w:rsidP="00F37E29">
          <w:pPr>
            <w:pStyle w:val="Cabealho"/>
            <w:jc w:val="center"/>
            <w:rPr>
              <w:rFonts w:ascii="Calibri" w:hAnsi="Calibri" w:cs="Calibri"/>
              <w:sz w:val="16"/>
              <w:szCs w:val="16"/>
              <w:u w:val="single"/>
            </w:rPr>
          </w:pPr>
        </w:p>
      </w:tc>
    </w:tr>
  </w:tbl>
  <w:p w:rsidR="00E250D0" w:rsidRDefault="00E250D0" w:rsidP="00E250D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250D0"/>
    <w:rsid w:val="001A338D"/>
    <w:rsid w:val="002027CD"/>
    <w:rsid w:val="0032625F"/>
    <w:rsid w:val="00424FAB"/>
    <w:rsid w:val="00506D3B"/>
    <w:rsid w:val="005F1A56"/>
    <w:rsid w:val="00A35F5C"/>
    <w:rsid w:val="00A64AD5"/>
    <w:rsid w:val="00C215D8"/>
    <w:rsid w:val="00E250D0"/>
    <w:rsid w:val="00EC274B"/>
    <w:rsid w:val="00FE2C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D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50D0"/>
    <w:pPr>
      <w:tabs>
        <w:tab w:val="center" w:pos="4252"/>
        <w:tab w:val="right" w:pos="8504"/>
      </w:tabs>
    </w:pPr>
  </w:style>
  <w:style w:type="character" w:customStyle="1" w:styleId="CabealhoChar">
    <w:name w:val="Cabeçalho Char"/>
    <w:basedOn w:val="Fontepargpadro"/>
    <w:link w:val="Cabealho"/>
    <w:uiPriority w:val="99"/>
    <w:rsid w:val="00E250D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E250D0"/>
    <w:pPr>
      <w:tabs>
        <w:tab w:val="center" w:pos="4252"/>
        <w:tab w:val="right" w:pos="8504"/>
      </w:tabs>
    </w:pPr>
  </w:style>
  <w:style w:type="character" w:customStyle="1" w:styleId="RodapChar">
    <w:name w:val="Rodapé Char"/>
    <w:basedOn w:val="Fontepargpadro"/>
    <w:link w:val="Rodap"/>
    <w:uiPriority w:val="99"/>
    <w:semiHidden/>
    <w:rsid w:val="00E250D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250D0"/>
    <w:rPr>
      <w:rFonts w:ascii="Tahoma" w:hAnsi="Tahoma" w:cs="Tahoma"/>
      <w:sz w:val="16"/>
      <w:szCs w:val="16"/>
    </w:rPr>
  </w:style>
  <w:style w:type="character" w:customStyle="1" w:styleId="TextodebaloChar">
    <w:name w:val="Texto de balão Char"/>
    <w:basedOn w:val="Fontepargpadro"/>
    <w:link w:val="Textodebalo"/>
    <w:uiPriority w:val="99"/>
    <w:semiHidden/>
    <w:rsid w:val="00E250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452</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5</cp:revision>
  <dcterms:created xsi:type="dcterms:W3CDTF">2022-07-01T19:37:00Z</dcterms:created>
  <dcterms:modified xsi:type="dcterms:W3CDTF">2022-07-04T17:27:00Z</dcterms:modified>
</cp:coreProperties>
</file>