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0D" w:rsidRPr="00C1662E" w:rsidRDefault="003D420D" w:rsidP="003D420D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05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SCI-LIC/2020</w:t>
      </w:r>
    </w:p>
    <w:p w:rsidR="003D420D" w:rsidRPr="00C1662E" w:rsidRDefault="003D420D" w:rsidP="003D420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D420D" w:rsidRPr="00C1662E" w:rsidRDefault="003D420D" w:rsidP="003D420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D420D" w:rsidRPr="00C1662E" w:rsidRDefault="003D420D" w:rsidP="003D420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D420D" w:rsidRPr="00C1662E" w:rsidRDefault="003D420D" w:rsidP="003D420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D420D" w:rsidRPr="00C1662E" w:rsidRDefault="003D420D" w:rsidP="003D420D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3D420D" w:rsidRPr="00C1662E" w:rsidRDefault="003D420D" w:rsidP="003D420D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3D420D" w:rsidRPr="00C1662E" w:rsidRDefault="003D420D" w:rsidP="003D420D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PROCESSO Nº 016/2019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</w:t>
      </w:r>
      <w:r>
        <w:rPr>
          <w:rFonts w:asciiTheme="majorHAnsi" w:hAnsiTheme="majorHAnsi" w:cs="Calibri"/>
          <w:b/>
          <w:sz w:val="24"/>
          <w:szCs w:val="24"/>
        </w:rPr>
        <w:t>INEXIGIBILIDADE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Nº 0</w:t>
      </w:r>
      <w:r>
        <w:rPr>
          <w:rFonts w:asciiTheme="majorHAnsi" w:hAnsiTheme="majorHAnsi" w:cs="Calibri"/>
          <w:b/>
          <w:sz w:val="24"/>
          <w:szCs w:val="24"/>
        </w:rPr>
        <w:t>05</w:t>
      </w:r>
      <w:r w:rsidRPr="00C1662E">
        <w:rPr>
          <w:rFonts w:asciiTheme="majorHAnsi" w:hAnsiTheme="majorHAnsi" w:cs="Calibri"/>
          <w:b/>
          <w:sz w:val="24"/>
          <w:szCs w:val="24"/>
        </w:rPr>
        <w:t>/201</w:t>
      </w:r>
      <w:r>
        <w:rPr>
          <w:rFonts w:asciiTheme="majorHAnsi" w:hAnsiTheme="majorHAnsi" w:cs="Calibri"/>
          <w:b/>
          <w:sz w:val="24"/>
          <w:szCs w:val="24"/>
        </w:rPr>
        <w:t>9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AQUISIÇÃO DE ASSINATURA DE JORNAL LOCAL JORNAL TANGARÁ.</w:t>
      </w:r>
    </w:p>
    <w:p w:rsidR="003D420D" w:rsidRPr="00C1662E" w:rsidRDefault="003D420D" w:rsidP="003D420D">
      <w:pPr>
        <w:jc w:val="both"/>
        <w:rPr>
          <w:rFonts w:asciiTheme="majorHAnsi" w:hAnsiTheme="majorHAnsi" w:cs="Calibri"/>
          <w:sz w:val="24"/>
          <w:szCs w:val="24"/>
        </w:rPr>
      </w:pPr>
    </w:p>
    <w:p w:rsidR="003D420D" w:rsidRPr="00C1662E" w:rsidRDefault="003D420D" w:rsidP="003D420D">
      <w:pPr>
        <w:jc w:val="both"/>
        <w:rPr>
          <w:rFonts w:asciiTheme="majorHAnsi" w:hAnsiTheme="majorHAnsi" w:cs="Calibri"/>
          <w:sz w:val="24"/>
          <w:szCs w:val="24"/>
        </w:rPr>
      </w:pPr>
    </w:p>
    <w:p w:rsidR="003D420D" w:rsidRPr="00C1662E" w:rsidRDefault="003D420D" w:rsidP="003D420D">
      <w:pPr>
        <w:jc w:val="both"/>
        <w:rPr>
          <w:rFonts w:asciiTheme="majorHAnsi" w:hAnsiTheme="majorHAnsi" w:cs="Calibri"/>
          <w:sz w:val="24"/>
          <w:szCs w:val="24"/>
        </w:rPr>
      </w:pPr>
    </w:p>
    <w:p w:rsidR="003D420D" w:rsidRPr="00C1662E" w:rsidRDefault="003D420D" w:rsidP="003D420D">
      <w:pPr>
        <w:jc w:val="both"/>
        <w:rPr>
          <w:rFonts w:asciiTheme="majorHAnsi" w:hAnsiTheme="majorHAnsi" w:cs="Calibri"/>
          <w:sz w:val="24"/>
          <w:szCs w:val="24"/>
        </w:rPr>
      </w:pPr>
    </w:p>
    <w:p w:rsidR="003D420D" w:rsidRPr="00C1662E" w:rsidRDefault="003D420D" w:rsidP="003D420D">
      <w:pPr>
        <w:jc w:val="both"/>
        <w:rPr>
          <w:rFonts w:asciiTheme="majorHAnsi" w:hAnsiTheme="majorHAnsi" w:cs="Calibri"/>
          <w:sz w:val="24"/>
          <w:szCs w:val="24"/>
        </w:rPr>
      </w:pPr>
    </w:p>
    <w:p w:rsidR="003D420D" w:rsidRPr="00A4418B" w:rsidRDefault="003D420D" w:rsidP="003D420D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3D420D" w:rsidRPr="00A4418B" w:rsidRDefault="003D420D" w:rsidP="003D420D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sz w:val="24"/>
          <w:szCs w:val="24"/>
        </w:rPr>
      </w:pPr>
      <w:r w:rsidRPr="00A4418B">
        <w:rPr>
          <w:rFonts w:asciiTheme="majorHAnsi" w:hAnsiTheme="majorHAnsi" w:cstheme="minorHAnsi"/>
          <w:sz w:val="24"/>
          <w:szCs w:val="24"/>
        </w:rPr>
        <w:tab/>
        <w:t xml:space="preserve">Examinamos o certame acima descrito, constatando que os atos do procedimento </w:t>
      </w:r>
      <w:proofErr w:type="gramStart"/>
      <w:r w:rsidRPr="00A4418B">
        <w:rPr>
          <w:rFonts w:asciiTheme="majorHAnsi" w:hAnsiTheme="majorHAnsi" w:cstheme="minorHAnsi"/>
          <w:sz w:val="24"/>
          <w:szCs w:val="24"/>
        </w:rPr>
        <w:t>citado</w:t>
      </w:r>
      <w:proofErr w:type="gramEnd"/>
      <w:r w:rsidRPr="00A4418B">
        <w:rPr>
          <w:rFonts w:asciiTheme="majorHAnsi" w:hAnsiTheme="majorHAnsi" w:cstheme="minorHAnsi"/>
          <w:sz w:val="24"/>
          <w:szCs w:val="24"/>
        </w:rPr>
        <w:t xml:space="preserve"> estão regulares, conforme o art. 2</w:t>
      </w:r>
      <w:r>
        <w:rPr>
          <w:rFonts w:asciiTheme="majorHAnsi" w:hAnsiTheme="majorHAnsi" w:cstheme="minorHAnsi"/>
          <w:sz w:val="24"/>
          <w:szCs w:val="24"/>
        </w:rPr>
        <w:t>5</w:t>
      </w:r>
      <w:r w:rsidRPr="00A4418B">
        <w:rPr>
          <w:rFonts w:asciiTheme="majorHAnsi" w:hAnsiTheme="majorHAnsi" w:cstheme="minorHAnsi"/>
          <w:sz w:val="24"/>
          <w:szCs w:val="24"/>
        </w:rPr>
        <w:t xml:space="preserve"> da Lei 8.666/93</w:t>
      </w:r>
      <w:r>
        <w:rPr>
          <w:rFonts w:asciiTheme="majorHAnsi" w:hAnsiTheme="majorHAnsi" w:cstheme="minorHAnsi"/>
          <w:sz w:val="24"/>
          <w:szCs w:val="24"/>
        </w:rPr>
        <w:t>.</w:t>
      </w:r>
    </w:p>
    <w:p w:rsidR="003D420D" w:rsidRPr="00A4418B" w:rsidRDefault="003D420D" w:rsidP="003D420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A4418B">
        <w:rPr>
          <w:rFonts w:asciiTheme="majorHAnsi" w:hAnsiTheme="majorHAnsi" w:cs="Calibri"/>
          <w:sz w:val="24"/>
          <w:szCs w:val="24"/>
        </w:rPr>
        <w:t>É o parecer.</w:t>
      </w:r>
    </w:p>
    <w:p w:rsidR="003D420D" w:rsidRPr="00C1662E" w:rsidRDefault="003D420D" w:rsidP="003D420D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3D420D" w:rsidRPr="00C1662E" w:rsidRDefault="003D420D" w:rsidP="003D420D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3D420D" w:rsidRPr="00C1662E" w:rsidRDefault="003D420D" w:rsidP="003D420D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C1662E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C1662E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15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Setembro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3D420D" w:rsidRPr="00C1662E" w:rsidRDefault="003D420D" w:rsidP="003D420D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D420D" w:rsidRPr="00C1662E" w:rsidRDefault="003D420D" w:rsidP="003D420D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D420D" w:rsidRPr="00C1662E" w:rsidRDefault="003D420D" w:rsidP="003D420D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D420D" w:rsidRPr="00C1662E" w:rsidRDefault="003D420D" w:rsidP="003D420D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D420D" w:rsidRPr="00C1662E" w:rsidRDefault="003D420D" w:rsidP="003D420D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3D420D" w:rsidRPr="00C1662E" w:rsidRDefault="003D420D" w:rsidP="003D420D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3D420D" w:rsidRPr="00C1662E" w:rsidRDefault="003D420D" w:rsidP="003D420D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3D420D" w:rsidRDefault="003D420D" w:rsidP="003D420D"/>
    <w:p w:rsidR="003D420D" w:rsidRDefault="003D420D" w:rsidP="003D420D"/>
    <w:p w:rsidR="003D420D" w:rsidRDefault="003D420D" w:rsidP="003D420D"/>
    <w:p w:rsidR="003D420D" w:rsidRDefault="003D420D" w:rsidP="003D420D"/>
    <w:p w:rsidR="003D420D" w:rsidRDefault="003D420D" w:rsidP="003D420D"/>
    <w:p w:rsidR="003D420D" w:rsidRDefault="003D420D" w:rsidP="003D420D"/>
    <w:p w:rsidR="003D420D" w:rsidRDefault="003D420D" w:rsidP="003D420D"/>
    <w:p w:rsidR="003D420D" w:rsidRDefault="003D420D" w:rsidP="003D420D"/>
    <w:p w:rsidR="008B18EC" w:rsidRDefault="008B18EC"/>
    <w:sectPr w:rsidR="008B18EC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3D420D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3D420D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3D420D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3D420D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3D420D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61691658" r:id="rId2"/>
            </w:object>
          </w:r>
        </w:p>
        <w:p w:rsidR="00F964BC" w:rsidRPr="00C1662E" w:rsidRDefault="003D420D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3D420D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3D420D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3D420D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20D"/>
    <w:rsid w:val="003D420D"/>
    <w:rsid w:val="008B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0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D420D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D42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2020-09-15T20:13:00Z</dcterms:created>
  <dcterms:modified xsi:type="dcterms:W3CDTF">2020-09-15T20:14:00Z</dcterms:modified>
</cp:coreProperties>
</file>