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9D" w:rsidRPr="0027259D" w:rsidRDefault="004D049D" w:rsidP="004D049D">
      <w:pPr>
        <w:jc w:val="both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PARECER DO CONTROLE INTERNO Nº 0</w:t>
      </w:r>
      <w:r>
        <w:rPr>
          <w:rFonts w:ascii="Cambria" w:hAnsi="Cambria"/>
          <w:b/>
        </w:rPr>
        <w:t>01</w:t>
      </w:r>
      <w:r w:rsidRPr="0027259D">
        <w:rPr>
          <w:rFonts w:ascii="Cambria" w:hAnsi="Cambria"/>
          <w:b/>
        </w:rPr>
        <w:t>/SCI-</w:t>
      </w:r>
      <w:r>
        <w:rPr>
          <w:rFonts w:ascii="Cambria" w:hAnsi="Cambria"/>
          <w:b/>
        </w:rPr>
        <w:t>DIV</w:t>
      </w:r>
      <w:r w:rsidRPr="0027259D">
        <w:rPr>
          <w:rFonts w:ascii="Cambria" w:hAnsi="Cambria"/>
          <w:b/>
        </w:rPr>
        <w:t>/201</w:t>
      </w:r>
      <w:r>
        <w:rPr>
          <w:rFonts w:ascii="Cambria" w:hAnsi="Cambria"/>
          <w:b/>
        </w:rPr>
        <w:t>8</w:t>
      </w:r>
    </w:p>
    <w:p w:rsidR="004D049D" w:rsidRDefault="004D049D" w:rsidP="004D049D">
      <w:pPr>
        <w:ind w:left="2268"/>
        <w:jc w:val="both"/>
        <w:rPr>
          <w:rFonts w:ascii="Cambria" w:hAnsi="Cambria"/>
          <w:b/>
        </w:rPr>
      </w:pPr>
    </w:p>
    <w:p w:rsidR="004D049D" w:rsidRDefault="004D049D" w:rsidP="004D049D">
      <w:pPr>
        <w:ind w:left="22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4D049D" w:rsidRDefault="004D049D" w:rsidP="004D049D">
      <w:pPr>
        <w:ind w:left="2268"/>
        <w:jc w:val="both"/>
        <w:rPr>
          <w:rFonts w:ascii="Cambria" w:hAnsi="Cambria"/>
          <w:b/>
        </w:rPr>
      </w:pPr>
    </w:p>
    <w:p w:rsidR="004D049D" w:rsidRDefault="004D049D" w:rsidP="004D049D">
      <w:pPr>
        <w:ind w:left="2268"/>
        <w:jc w:val="both"/>
        <w:rPr>
          <w:rFonts w:ascii="Cambria" w:hAnsi="Cambria"/>
        </w:rPr>
      </w:pPr>
      <w:r w:rsidRPr="0027259D">
        <w:rPr>
          <w:rFonts w:ascii="Cambria" w:hAnsi="Cambria"/>
          <w:b/>
        </w:rPr>
        <w:t xml:space="preserve">TRATA-SE DE PARECER REFERENTE </w:t>
      </w:r>
      <w:r>
        <w:rPr>
          <w:rFonts w:ascii="Cambria" w:hAnsi="Cambria"/>
          <w:b/>
        </w:rPr>
        <w:t>PROCEDIMENTO ADMINISTRATIVO Nº 001/2017 – PROGRESSÃO DA SERVIDORA ROSEMEIRE APARECIDA DOS REIS DA SILVA.</w:t>
      </w:r>
    </w:p>
    <w:p w:rsidR="004D049D" w:rsidRDefault="004D049D" w:rsidP="004D049D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4D049D" w:rsidRDefault="004D049D" w:rsidP="004D049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/>
        </w:rPr>
      </w:pPr>
    </w:p>
    <w:p w:rsidR="001745BD" w:rsidRPr="001745BD" w:rsidRDefault="001745BD" w:rsidP="001745BD">
      <w:pPr>
        <w:shd w:val="clear" w:color="auto" w:fill="FFFFFF"/>
        <w:jc w:val="both"/>
        <w:rPr>
          <w:rFonts w:asciiTheme="majorHAnsi" w:eastAsia="Times New Roman" w:hAnsiTheme="majorHAnsi" w:cs="Calibri"/>
          <w:color w:val="000000"/>
          <w:sz w:val="24"/>
          <w:szCs w:val="24"/>
          <w:lang w:eastAsia="pt-BR"/>
        </w:rPr>
      </w:pPr>
      <w:r>
        <w:rPr>
          <w:rFonts w:ascii="Cambria" w:hAnsi="Cambria"/>
        </w:rPr>
        <w:tab/>
      </w:r>
      <w:r w:rsidRPr="001745BD">
        <w:rPr>
          <w:rFonts w:asciiTheme="majorHAnsi" w:hAnsiTheme="majorHAnsi"/>
          <w:sz w:val="24"/>
          <w:szCs w:val="24"/>
        </w:rPr>
        <w:t xml:space="preserve">Reexaminando o caso da servidora Rosemeire Aparecida dos Reis da Silva em relação ao Acórdão nº </w:t>
      </w:r>
      <w:r w:rsidRPr="001745BD">
        <w:rPr>
          <w:rFonts w:asciiTheme="majorHAnsi" w:eastAsia="Times New Roman" w:hAnsiTheme="majorHAnsi" w:cs="Calibri"/>
          <w:color w:val="000000"/>
          <w:sz w:val="24"/>
          <w:szCs w:val="24"/>
          <w:lang w:eastAsia="pt-BR"/>
        </w:rPr>
        <w:t>501/2018 Plenário (</w:t>
      </w:r>
      <w:proofErr w:type="gramStart"/>
      <w:r w:rsidRPr="001745BD">
        <w:rPr>
          <w:rFonts w:asciiTheme="majorHAnsi" w:eastAsia="Times New Roman" w:hAnsiTheme="majorHAnsi" w:cs="Calibri"/>
          <w:color w:val="000000"/>
          <w:sz w:val="24"/>
          <w:szCs w:val="24"/>
          <w:lang w:eastAsia="pt-BR"/>
        </w:rPr>
        <w:t>Consulta,</w:t>
      </w:r>
      <w:proofErr w:type="gramEnd"/>
      <w:r w:rsidRPr="001745BD">
        <w:rPr>
          <w:rFonts w:asciiTheme="majorHAnsi" w:eastAsia="Times New Roman" w:hAnsiTheme="majorHAnsi" w:cs="Calibri"/>
          <w:color w:val="000000"/>
          <w:sz w:val="24"/>
          <w:szCs w:val="24"/>
          <w:lang w:eastAsia="pt-BR"/>
        </w:rPr>
        <w:t xml:space="preserve"> Relator </w:t>
      </w:r>
      <w:proofErr w:type="spellStart"/>
      <w:r w:rsidRPr="001745BD">
        <w:rPr>
          <w:rFonts w:asciiTheme="majorHAnsi" w:eastAsia="Times New Roman" w:hAnsiTheme="majorHAnsi" w:cs="Calibri"/>
          <w:color w:val="000000"/>
          <w:sz w:val="24"/>
          <w:szCs w:val="24"/>
          <w:lang w:eastAsia="pt-BR"/>
        </w:rPr>
        <w:t>Ministro-Substituto</w:t>
      </w:r>
      <w:proofErr w:type="spellEnd"/>
      <w:r w:rsidRPr="001745BD">
        <w:rPr>
          <w:rFonts w:asciiTheme="majorHAnsi" w:eastAsia="Times New Roman" w:hAnsiTheme="majorHAnsi" w:cs="Calibri"/>
          <w:color w:val="000000"/>
          <w:sz w:val="24"/>
          <w:szCs w:val="24"/>
          <w:lang w:eastAsia="pt-BR"/>
        </w:rPr>
        <w:t xml:space="preserve"> Marcos </w:t>
      </w:r>
      <w:proofErr w:type="spellStart"/>
      <w:r w:rsidRPr="001745BD">
        <w:rPr>
          <w:rFonts w:asciiTheme="majorHAnsi" w:eastAsia="Times New Roman" w:hAnsiTheme="majorHAnsi" w:cs="Calibri"/>
          <w:color w:val="000000"/>
          <w:sz w:val="24"/>
          <w:szCs w:val="24"/>
          <w:lang w:eastAsia="pt-BR"/>
        </w:rPr>
        <w:t>Bemquerer</w:t>
      </w:r>
      <w:proofErr w:type="spellEnd"/>
      <w:r w:rsidRPr="001745BD">
        <w:rPr>
          <w:rFonts w:asciiTheme="majorHAnsi" w:eastAsia="Times New Roman" w:hAnsiTheme="majorHAnsi" w:cs="Calibri"/>
          <w:color w:val="000000"/>
          <w:sz w:val="24"/>
          <w:szCs w:val="24"/>
          <w:lang w:eastAsia="pt-BR"/>
        </w:rPr>
        <w:t>)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pt-BR"/>
        </w:rPr>
        <w:t>:</w:t>
      </w:r>
    </w:p>
    <w:p w:rsidR="001745BD" w:rsidRPr="001745BD" w:rsidRDefault="001745BD" w:rsidP="001745BD">
      <w:pPr>
        <w:shd w:val="clear" w:color="auto" w:fill="FFFFFF"/>
        <w:jc w:val="both"/>
        <w:rPr>
          <w:rFonts w:asciiTheme="majorHAnsi" w:eastAsia="Times New Roman" w:hAnsiTheme="majorHAnsi" w:cs="Calibri"/>
          <w:color w:val="000000"/>
          <w:sz w:val="24"/>
          <w:szCs w:val="24"/>
          <w:lang w:eastAsia="pt-BR"/>
        </w:rPr>
      </w:pPr>
    </w:p>
    <w:p w:rsidR="001745BD" w:rsidRPr="001745BD" w:rsidRDefault="001745BD" w:rsidP="001745BD">
      <w:pPr>
        <w:shd w:val="clear" w:color="auto" w:fill="FFFFFF"/>
        <w:ind w:left="2835"/>
        <w:jc w:val="both"/>
        <w:rPr>
          <w:rFonts w:asciiTheme="majorHAnsi" w:eastAsia="Times New Roman" w:hAnsiTheme="majorHAnsi" w:cs="Calibri"/>
          <w:color w:val="000000"/>
          <w:sz w:val="20"/>
          <w:szCs w:val="20"/>
          <w:lang w:eastAsia="pt-BR"/>
        </w:rPr>
      </w:pPr>
      <w:r w:rsidRPr="001745BD">
        <w:rPr>
          <w:rFonts w:asciiTheme="majorHAnsi" w:eastAsia="Times New Roman" w:hAnsiTheme="majorHAnsi" w:cs="Calibri"/>
          <w:color w:val="000000"/>
          <w:sz w:val="20"/>
          <w:szCs w:val="20"/>
          <w:lang w:eastAsia="pt-BR"/>
        </w:rPr>
        <w:t>Pessoal. Teto constitucional. Legislação. Vigência. Regulamentação. Desnecessidade. Consulta.</w:t>
      </w:r>
    </w:p>
    <w:p w:rsidR="001745BD" w:rsidRDefault="001745BD" w:rsidP="001745BD">
      <w:pPr>
        <w:shd w:val="clear" w:color="auto" w:fill="FFFFFF"/>
        <w:ind w:left="2835"/>
        <w:jc w:val="both"/>
        <w:rPr>
          <w:rFonts w:asciiTheme="majorHAnsi" w:eastAsia="Times New Roman" w:hAnsiTheme="majorHAnsi" w:cs="Calibri"/>
          <w:color w:val="000000"/>
          <w:sz w:val="20"/>
          <w:szCs w:val="20"/>
          <w:lang w:eastAsia="pt-BR"/>
        </w:rPr>
      </w:pPr>
    </w:p>
    <w:p w:rsidR="001745BD" w:rsidRPr="001745BD" w:rsidRDefault="001745BD" w:rsidP="001745BD">
      <w:pPr>
        <w:shd w:val="clear" w:color="auto" w:fill="FFFFFF"/>
        <w:ind w:left="2835"/>
        <w:jc w:val="both"/>
        <w:rPr>
          <w:rFonts w:asciiTheme="majorHAnsi" w:eastAsia="Times New Roman" w:hAnsiTheme="majorHAnsi" w:cs="Calibri"/>
          <w:color w:val="000000"/>
          <w:lang w:eastAsia="pt-BR"/>
        </w:rPr>
      </w:pPr>
      <w:r w:rsidRPr="001745BD">
        <w:rPr>
          <w:rFonts w:asciiTheme="majorHAnsi" w:eastAsia="Times New Roman" w:hAnsiTheme="majorHAnsi" w:cs="Calibri"/>
          <w:color w:val="000000"/>
          <w:sz w:val="20"/>
          <w:szCs w:val="20"/>
          <w:lang w:eastAsia="pt-BR"/>
        </w:rPr>
        <w:t xml:space="preserve">O teto de remunerações e subsídios previsto no art. 37, inciso XI, da Constituição Federal, com a redação dada pela Emenda Constitucional 41/2003, </w:t>
      </w:r>
      <w:r w:rsidRPr="001745BD">
        <w:rPr>
          <w:rFonts w:asciiTheme="majorHAnsi" w:eastAsia="Times New Roman" w:hAnsiTheme="majorHAnsi" w:cs="Calibri"/>
          <w:b/>
          <w:color w:val="000000"/>
          <w:sz w:val="20"/>
          <w:szCs w:val="20"/>
          <w:lang w:eastAsia="pt-BR"/>
        </w:rPr>
        <w:t>é autoaplicável</w:t>
      </w:r>
      <w:r w:rsidRPr="001745BD">
        <w:rPr>
          <w:rFonts w:asciiTheme="majorHAnsi" w:eastAsia="Times New Roman" w:hAnsiTheme="majorHAnsi" w:cs="Calibri"/>
          <w:color w:val="000000"/>
          <w:sz w:val="20"/>
          <w:szCs w:val="20"/>
          <w:lang w:eastAsia="pt-BR"/>
        </w:rPr>
        <w:t xml:space="preserve">, não carecendo de regulamentação em face da previsão de instituição de sistema integrado de dados a que alude o art. 3º da Lei 10.887/2004. O referido sistema tem caráter meramente instrumental, acessório, </w:t>
      </w:r>
      <w:r w:rsidRPr="001745BD">
        <w:rPr>
          <w:rFonts w:asciiTheme="majorHAnsi" w:eastAsia="Times New Roman" w:hAnsiTheme="majorHAnsi" w:cs="Calibri"/>
          <w:b/>
          <w:color w:val="000000"/>
          <w:sz w:val="20"/>
          <w:szCs w:val="20"/>
          <w:lang w:eastAsia="pt-BR"/>
        </w:rPr>
        <w:t>não podendo ser erigido como obstáculo para o cumprimento da norma constitucional</w:t>
      </w:r>
      <w:r w:rsidRPr="001745BD">
        <w:rPr>
          <w:rFonts w:asciiTheme="majorHAnsi" w:eastAsia="Times New Roman" w:hAnsiTheme="majorHAnsi" w:cs="Calibri"/>
          <w:color w:val="000000"/>
          <w:sz w:val="20"/>
          <w:szCs w:val="20"/>
          <w:lang w:eastAsia="pt-BR"/>
        </w:rPr>
        <w:t>, sobretudo em situações de extrapolação do teto já conhecidas pela Administração.</w:t>
      </w:r>
    </w:p>
    <w:p w:rsidR="001745BD" w:rsidRPr="001745BD" w:rsidRDefault="001745BD" w:rsidP="001745B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4D049D" w:rsidRDefault="001745BD" w:rsidP="001745BD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>Pairou-nos novas duvidas em relação à possibilidade de lei municipal ter competência de regulamentar norma constitucional erigindo como obstáculo para o cumprimento desta norma, tomando como analogia o Acórdão acima.</w:t>
      </w:r>
    </w:p>
    <w:p w:rsidR="001745BD" w:rsidRDefault="001745BD" w:rsidP="001745BD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>Dessa forma, solicitamos novo estudo da comissão e do departamento jurídico à luz desse entendimento de 2018, para que a Câmara Municipal não recaia em nenhuma irregularidade.</w:t>
      </w:r>
    </w:p>
    <w:p w:rsidR="001745BD" w:rsidRDefault="001745BD" w:rsidP="001745BD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>É o parecer.</w:t>
      </w:r>
    </w:p>
    <w:p w:rsidR="004D049D" w:rsidRDefault="004D049D" w:rsidP="004D049D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4D049D" w:rsidRPr="00DB620F" w:rsidRDefault="004D049D" w:rsidP="001745BD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</w:rPr>
      </w:pPr>
      <w:r w:rsidRPr="00DB620F">
        <w:rPr>
          <w:rFonts w:ascii="Cambria" w:hAnsi="Cambria"/>
        </w:rPr>
        <w:t xml:space="preserve">Tangará da Serra-MT, </w:t>
      </w:r>
      <w:r w:rsidR="001745BD">
        <w:rPr>
          <w:rFonts w:ascii="Cambria" w:hAnsi="Cambria"/>
        </w:rPr>
        <w:t>17</w:t>
      </w:r>
      <w:r w:rsidRPr="00DB620F">
        <w:rPr>
          <w:rFonts w:ascii="Cambria" w:hAnsi="Cambria"/>
        </w:rPr>
        <w:t xml:space="preserve"> de </w:t>
      </w:r>
      <w:r w:rsidR="001745BD">
        <w:rPr>
          <w:rFonts w:ascii="Cambria" w:hAnsi="Cambria"/>
        </w:rPr>
        <w:t>Abril</w:t>
      </w:r>
      <w:r w:rsidRPr="00DB620F">
        <w:rPr>
          <w:rFonts w:ascii="Cambria" w:hAnsi="Cambria"/>
        </w:rPr>
        <w:t xml:space="preserve"> </w:t>
      </w:r>
      <w:proofErr w:type="spellStart"/>
      <w:r w:rsidRPr="00DB620F">
        <w:rPr>
          <w:rFonts w:ascii="Cambria" w:hAnsi="Cambria"/>
        </w:rPr>
        <w:t>de</w:t>
      </w:r>
      <w:proofErr w:type="spellEnd"/>
      <w:r w:rsidRPr="00DB620F">
        <w:rPr>
          <w:rFonts w:ascii="Cambria" w:hAnsi="Cambria"/>
        </w:rPr>
        <w:t xml:space="preserve"> 201</w:t>
      </w:r>
      <w:r w:rsidR="001745BD">
        <w:rPr>
          <w:rFonts w:ascii="Cambria" w:hAnsi="Cambria"/>
        </w:rPr>
        <w:t>8</w:t>
      </w:r>
      <w:r w:rsidRPr="00DB620F">
        <w:rPr>
          <w:rFonts w:ascii="Cambria" w:hAnsi="Cambria"/>
        </w:rPr>
        <w:t>.</w:t>
      </w:r>
    </w:p>
    <w:p w:rsidR="004D049D" w:rsidRDefault="004D049D" w:rsidP="004D049D">
      <w:pPr>
        <w:spacing w:line="360" w:lineRule="auto"/>
        <w:jc w:val="center"/>
        <w:rPr>
          <w:rFonts w:ascii="Cambria" w:hAnsi="Cambria"/>
          <w:b/>
        </w:rPr>
      </w:pPr>
    </w:p>
    <w:p w:rsidR="004D049D" w:rsidRDefault="004D049D" w:rsidP="004D049D">
      <w:pPr>
        <w:spacing w:line="360" w:lineRule="auto"/>
        <w:jc w:val="center"/>
        <w:rPr>
          <w:rFonts w:ascii="Cambria" w:hAnsi="Cambria"/>
          <w:b/>
        </w:rPr>
      </w:pPr>
    </w:p>
    <w:p w:rsidR="004D049D" w:rsidRPr="0027259D" w:rsidRDefault="004D049D" w:rsidP="004D049D">
      <w:pPr>
        <w:jc w:val="center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____________________________________________</w:t>
      </w:r>
    </w:p>
    <w:p w:rsidR="004D049D" w:rsidRPr="0027259D" w:rsidRDefault="004D049D" w:rsidP="004D049D">
      <w:pPr>
        <w:jc w:val="center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LUCIANA DUARTE FELISBERTO</w:t>
      </w:r>
    </w:p>
    <w:p w:rsidR="004D049D" w:rsidRDefault="004D049D" w:rsidP="004D049D">
      <w:pPr>
        <w:jc w:val="center"/>
      </w:pPr>
      <w:r w:rsidRPr="0027259D">
        <w:rPr>
          <w:rFonts w:ascii="Cambria" w:hAnsi="Cambria"/>
          <w:b/>
        </w:rPr>
        <w:t>Controladora Interna</w:t>
      </w:r>
    </w:p>
    <w:p w:rsidR="00F41CA4" w:rsidRPr="004D049D" w:rsidRDefault="00F41CA4" w:rsidP="004D049D"/>
    <w:sectPr w:rsidR="00F41CA4" w:rsidRPr="004D049D" w:rsidSect="009E2070">
      <w:headerReference w:type="default" r:id="rId4"/>
      <w:footerReference w:type="default" r:id="rId5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Pr="004E5448" w:rsidRDefault="001745BD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9E2070" w:rsidRPr="004E5448" w:rsidRDefault="001745BD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</w:t>
    </w:r>
    <w:r w:rsidRPr="004E5448">
      <w:rPr>
        <w:rFonts w:ascii="Times New Roman" w:hAnsi="Times New Roman"/>
        <w:color w:val="231F20"/>
        <w:sz w:val="14"/>
        <w:szCs w:val="14"/>
      </w:rPr>
      <w:t>tado para a correção de eventuais desvios em relação aos parâmetros estabelecidos, como instrumento auxiliar de gestão”.</w:t>
    </w:r>
  </w:p>
  <w:p w:rsidR="009E2070" w:rsidRPr="004E5448" w:rsidRDefault="001745BD" w:rsidP="009E2070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Default="001745BD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E2070" w:rsidRPr="00225746" w:rsidTr="009E2070">
      <w:tc>
        <w:tcPr>
          <w:tcW w:w="2420" w:type="dxa"/>
        </w:tcPr>
        <w:p w:rsidR="009E2070" w:rsidRPr="00225746" w:rsidRDefault="001745BD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5463887" r:id="rId2"/>
            </w:object>
          </w:r>
        </w:p>
        <w:p w:rsidR="009E2070" w:rsidRPr="00225746" w:rsidRDefault="001745BD" w:rsidP="009E2070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9E2070" w:rsidRPr="00225746" w:rsidRDefault="001745BD" w:rsidP="009E2070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9E2070" w:rsidRPr="00225746" w:rsidRDefault="001745BD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 xml:space="preserve">Tangará da Serra - </w:t>
          </w:r>
          <w:r w:rsidRPr="00225746">
            <w:rPr>
              <w:rFonts w:ascii="Calibri" w:hAnsi="Calibri" w:cs="Calibri"/>
              <w:sz w:val="24"/>
              <w:szCs w:val="24"/>
            </w:rPr>
            <w:t>Mato Grosso</w:t>
          </w:r>
        </w:p>
      </w:tc>
    </w:tr>
  </w:tbl>
  <w:p w:rsidR="009E2070" w:rsidRDefault="001745BD" w:rsidP="009E2070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049D"/>
    <w:rsid w:val="00016917"/>
    <w:rsid w:val="000307D7"/>
    <w:rsid w:val="00047FCE"/>
    <w:rsid w:val="000552D4"/>
    <w:rsid w:val="000561E6"/>
    <w:rsid w:val="00091C10"/>
    <w:rsid w:val="000E1F88"/>
    <w:rsid w:val="000F56C5"/>
    <w:rsid w:val="00126F0A"/>
    <w:rsid w:val="001346F9"/>
    <w:rsid w:val="00140D9F"/>
    <w:rsid w:val="0014589A"/>
    <w:rsid w:val="00156458"/>
    <w:rsid w:val="001578AC"/>
    <w:rsid w:val="00163A5C"/>
    <w:rsid w:val="001745BD"/>
    <w:rsid w:val="00175F25"/>
    <w:rsid w:val="00185BC6"/>
    <w:rsid w:val="001D4773"/>
    <w:rsid w:val="001E78AA"/>
    <w:rsid w:val="001F59DC"/>
    <w:rsid w:val="00200CCC"/>
    <w:rsid w:val="002025CD"/>
    <w:rsid w:val="00211812"/>
    <w:rsid w:val="00247F75"/>
    <w:rsid w:val="00294E79"/>
    <w:rsid w:val="002A5C76"/>
    <w:rsid w:val="002A7643"/>
    <w:rsid w:val="002B30E3"/>
    <w:rsid w:val="002C4D18"/>
    <w:rsid w:val="002D7022"/>
    <w:rsid w:val="002E39E5"/>
    <w:rsid w:val="002F2D4E"/>
    <w:rsid w:val="003036D1"/>
    <w:rsid w:val="003057AC"/>
    <w:rsid w:val="00325C25"/>
    <w:rsid w:val="003608F0"/>
    <w:rsid w:val="00392B98"/>
    <w:rsid w:val="00394651"/>
    <w:rsid w:val="003A0523"/>
    <w:rsid w:val="003A28F6"/>
    <w:rsid w:val="003A677C"/>
    <w:rsid w:val="0040655D"/>
    <w:rsid w:val="00422CC4"/>
    <w:rsid w:val="00430FAC"/>
    <w:rsid w:val="00471DBE"/>
    <w:rsid w:val="004A18C4"/>
    <w:rsid w:val="004A3C19"/>
    <w:rsid w:val="004B7B58"/>
    <w:rsid w:val="004C1F45"/>
    <w:rsid w:val="004D049D"/>
    <w:rsid w:val="004D6CC3"/>
    <w:rsid w:val="004F050A"/>
    <w:rsid w:val="00502968"/>
    <w:rsid w:val="00521D19"/>
    <w:rsid w:val="005327A7"/>
    <w:rsid w:val="00545E8A"/>
    <w:rsid w:val="0056063E"/>
    <w:rsid w:val="005B5935"/>
    <w:rsid w:val="005D16DC"/>
    <w:rsid w:val="005D7E18"/>
    <w:rsid w:val="005E7C8A"/>
    <w:rsid w:val="00614869"/>
    <w:rsid w:val="00650B6E"/>
    <w:rsid w:val="006511B3"/>
    <w:rsid w:val="006730A7"/>
    <w:rsid w:val="006E6BC0"/>
    <w:rsid w:val="0071222A"/>
    <w:rsid w:val="007176BA"/>
    <w:rsid w:val="007267B4"/>
    <w:rsid w:val="007364E3"/>
    <w:rsid w:val="00747FD3"/>
    <w:rsid w:val="00770C40"/>
    <w:rsid w:val="00773CC7"/>
    <w:rsid w:val="00777C13"/>
    <w:rsid w:val="00782D9F"/>
    <w:rsid w:val="007B60D0"/>
    <w:rsid w:val="007D2739"/>
    <w:rsid w:val="007F057D"/>
    <w:rsid w:val="007F6CEB"/>
    <w:rsid w:val="0082145C"/>
    <w:rsid w:val="00836BCD"/>
    <w:rsid w:val="00867CCE"/>
    <w:rsid w:val="00870680"/>
    <w:rsid w:val="00876745"/>
    <w:rsid w:val="00897ECE"/>
    <w:rsid w:val="008C43F9"/>
    <w:rsid w:val="008C70B6"/>
    <w:rsid w:val="00935AD6"/>
    <w:rsid w:val="00952349"/>
    <w:rsid w:val="009543FD"/>
    <w:rsid w:val="009565A2"/>
    <w:rsid w:val="00982571"/>
    <w:rsid w:val="009B2B59"/>
    <w:rsid w:val="009C4C4F"/>
    <w:rsid w:val="009E1883"/>
    <w:rsid w:val="009E5F26"/>
    <w:rsid w:val="009F144F"/>
    <w:rsid w:val="009F5B70"/>
    <w:rsid w:val="00A25C2A"/>
    <w:rsid w:val="00A45AA0"/>
    <w:rsid w:val="00A621EF"/>
    <w:rsid w:val="00A802BE"/>
    <w:rsid w:val="00AE0F9C"/>
    <w:rsid w:val="00B35E55"/>
    <w:rsid w:val="00B42CBF"/>
    <w:rsid w:val="00B532C2"/>
    <w:rsid w:val="00B90D77"/>
    <w:rsid w:val="00BB4D8B"/>
    <w:rsid w:val="00BC6BD5"/>
    <w:rsid w:val="00C06858"/>
    <w:rsid w:val="00C126A4"/>
    <w:rsid w:val="00C273C6"/>
    <w:rsid w:val="00C341FC"/>
    <w:rsid w:val="00C515F3"/>
    <w:rsid w:val="00C61766"/>
    <w:rsid w:val="00C746FE"/>
    <w:rsid w:val="00C96B27"/>
    <w:rsid w:val="00CC7241"/>
    <w:rsid w:val="00D032DF"/>
    <w:rsid w:val="00D13DFE"/>
    <w:rsid w:val="00D74967"/>
    <w:rsid w:val="00D77C9C"/>
    <w:rsid w:val="00DC15FB"/>
    <w:rsid w:val="00DC3E2A"/>
    <w:rsid w:val="00DD3FCB"/>
    <w:rsid w:val="00DF7D60"/>
    <w:rsid w:val="00E05038"/>
    <w:rsid w:val="00E050B0"/>
    <w:rsid w:val="00E064DC"/>
    <w:rsid w:val="00E24AA7"/>
    <w:rsid w:val="00E26932"/>
    <w:rsid w:val="00E54AF8"/>
    <w:rsid w:val="00E70C33"/>
    <w:rsid w:val="00EB5D09"/>
    <w:rsid w:val="00ED6A40"/>
    <w:rsid w:val="00F024BB"/>
    <w:rsid w:val="00F220E6"/>
    <w:rsid w:val="00F2354E"/>
    <w:rsid w:val="00F419B4"/>
    <w:rsid w:val="00F41CA4"/>
    <w:rsid w:val="00F425B6"/>
    <w:rsid w:val="00F50B43"/>
    <w:rsid w:val="00F73E11"/>
    <w:rsid w:val="00F96E6D"/>
    <w:rsid w:val="00FC1B09"/>
    <w:rsid w:val="00FC7017"/>
    <w:rsid w:val="00FD383D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49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">
    <w:name w:val="art"/>
    <w:basedOn w:val="Normal"/>
    <w:rsid w:val="004D04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04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4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D049D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D049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il">
    <w:name w:val="il"/>
    <w:basedOn w:val="Fontepargpadro"/>
    <w:rsid w:val="00174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11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2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2018-04-17T13:34:00Z</dcterms:created>
  <dcterms:modified xsi:type="dcterms:W3CDTF">2018-04-17T13:52:00Z</dcterms:modified>
</cp:coreProperties>
</file>