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F7" w:rsidRPr="00CE2DC1" w:rsidRDefault="00B22AF7" w:rsidP="00B22AF7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16/SCI-AP/2021</w:t>
      </w:r>
    </w:p>
    <w:p w:rsidR="00B22AF7" w:rsidRPr="00CE2DC1" w:rsidRDefault="00B22AF7" w:rsidP="00B22AF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B22AF7" w:rsidRPr="00CE2DC1" w:rsidRDefault="00B22AF7" w:rsidP="00B22AF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B22AF7" w:rsidRPr="00CE2DC1" w:rsidRDefault="00B22AF7" w:rsidP="00B22AF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B22AF7" w:rsidRPr="00CE2DC1" w:rsidRDefault="00B22AF7" w:rsidP="00B22AF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B22AF7" w:rsidRPr="00CE2DC1" w:rsidRDefault="00B22AF7" w:rsidP="00B22AF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 </w:t>
      </w:r>
      <w:r>
        <w:rPr>
          <w:rFonts w:asciiTheme="majorHAnsi" w:hAnsiTheme="majorHAnsi"/>
          <w:b/>
          <w:sz w:val="24"/>
          <w:szCs w:val="24"/>
        </w:rPr>
        <w:t xml:space="preserve">CELSO ROBERTO VIEIRA </w:t>
      </w:r>
      <w:r w:rsidRPr="00CE2DC1">
        <w:rPr>
          <w:rFonts w:asciiTheme="majorHAnsi" w:hAnsiTheme="majorHAnsi"/>
          <w:b/>
          <w:sz w:val="24"/>
          <w:szCs w:val="24"/>
        </w:rPr>
        <w:t>RELATIVO À PEDIDO DE PROGRESSÃO.</w:t>
      </w:r>
    </w:p>
    <w:p w:rsidR="00B22AF7" w:rsidRPr="00CE2DC1" w:rsidRDefault="00B22AF7" w:rsidP="00B22AF7">
      <w:pPr>
        <w:jc w:val="both"/>
        <w:rPr>
          <w:rFonts w:asciiTheme="majorHAnsi" w:hAnsiTheme="majorHAnsi"/>
          <w:sz w:val="24"/>
          <w:szCs w:val="24"/>
        </w:rPr>
      </w:pPr>
    </w:p>
    <w:p w:rsidR="00B22AF7" w:rsidRPr="00CE2DC1" w:rsidRDefault="00B22AF7" w:rsidP="00B22AF7">
      <w:pPr>
        <w:jc w:val="both"/>
        <w:rPr>
          <w:rFonts w:asciiTheme="majorHAnsi" w:hAnsiTheme="majorHAnsi"/>
          <w:sz w:val="24"/>
          <w:szCs w:val="24"/>
        </w:rPr>
      </w:pPr>
    </w:p>
    <w:p w:rsidR="00B22AF7" w:rsidRPr="00CE2DC1" w:rsidRDefault="00B22AF7" w:rsidP="00B22AF7">
      <w:pPr>
        <w:jc w:val="both"/>
        <w:rPr>
          <w:rFonts w:asciiTheme="majorHAnsi" w:hAnsiTheme="majorHAnsi"/>
          <w:sz w:val="24"/>
          <w:szCs w:val="24"/>
        </w:rPr>
      </w:pPr>
    </w:p>
    <w:p w:rsidR="00B22AF7" w:rsidRPr="001C61BD" w:rsidRDefault="00B22AF7" w:rsidP="00B22AF7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0"/>
          <w:szCs w:val="20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>Celso Roberto Vieira, de uma progressão conforme art. 17, § 1º, da Lei 143/2009, sem a apresentação de certificado de conclusão de sessenta horas de cursos de capacitação ligados à sua área de atuação.</w:t>
      </w:r>
    </w:p>
    <w:p w:rsidR="00B22AF7" w:rsidRDefault="00B22AF7" w:rsidP="00B22AF7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 entendimento desta Controladoria é de ser</w:t>
      </w:r>
      <w:r w:rsidRPr="00CE2DC1">
        <w:rPr>
          <w:rFonts w:asciiTheme="majorHAnsi" w:hAnsiTheme="majorHAnsi"/>
          <w:sz w:val="24"/>
          <w:szCs w:val="24"/>
        </w:rPr>
        <w:t xml:space="preserve"> favorável à concessão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</w:t>
      </w:r>
      <w:r>
        <w:rPr>
          <w:rFonts w:asciiTheme="majorHAnsi" w:hAnsiTheme="majorHAnsi"/>
          <w:sz w:val="24"/>
          <w:szCs w:val="24"/>
        </w:rPr>
        <w:t xml:space="preserve">que poderá ser atestado pelo departamento de RH, </w:t>
      </w:r>
      <w:r w:rsidRPr="00CE2DC1">
        <w:rPr>
          <w:rFonts w:asciiTheme="majorHAnsi" w:hAnsiTheme="majorHAnsi"/>
          <w:sz w:val="24"/>
          <w:szCs w:val="24"/>
        </w:rPr>
        <w:t>bem como a dotação orçamentária disponível.</w:t>
      </w:r>
    </w:p>
    <w:p w:rsidR="00B22AF7" w:rsidRDefault="00B22AF7" w:rsidP="00B22AF7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que pese a Lei nº 173/2020 proibir o aumento de despesas com pessoal, a contagem de tempo de efetivo exercício e criar vantagens aos servidores até 31/12/2021, essa proibição só alcança os municípios que decretaram estado de </w:t>
      </w:r>
      <w:proofErr w:type="gramStart"/>
      <w:r>
        <w:rPr>
          <w:rFonts w:asciiTheme="majorHAnsi" w:hAnsiTheme="majorHAnsi"/>
          <w:sz w:val="24"/>
          <w:szCs w:val="24"/>
        </w:rPr>
        <w:t>calamidade</w:t>
      </w:r>
      <w:proofErr w:type="gramEnd"/>
      <w:r>
        <w:rPr>
          <w:rFonts w:asciiTheme="majorHAnsi" w:hAnsiTheme="majorHAnsi"/>
          <w:sz w:val="24"/>
          <w:szCs w:val="24"/>
        </w:rPr>
        <w:t xml:space="preserve"> pública devidamente aprovada pela Assembléia Legislativa de MT, via decreto, o que não é o caso de Tangará da Serra. </w:t>
      </w:r>
    </w:p>
    <w:p w:rsidR="00B22AF7" w:rsidRDefault="00B22AF7" w:rsidP="00B22AF7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Ainda, sobre a possibilidade de estarmos suscetíveis aos mandamentos da referida lei, no art. 8º, I, é claro o posicionamento de exceção de benefícios que derivam de decisão judicial e/ou de legislação anterior à Lei 173/2020.</w:t>
      </w:r>
    </w:p>
    <w:p w:rsidR="00B22AF7" w:rsidRDefault="00B22AF7" w:rsidP="00B22AF7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Contudo, a Resolução de Consulta nº 01/2021 do Tribunal de Contas do Estado – TCE/MT entende ser legitimo o direito à progressão e promoção que já estava previsto na legislação, desde que o solicitante atenda aos requisitos da lei que originou o direito.</w:t>
      </w:r>
    </w:p>
    <w:p w:rsidR="00B22AF7" w:rsidRPr="009A6DFB" w:rsidRDefault="00B22AF7" w:rsidP="00B22AF7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Dessa forma, entendemos que não estamos obrigados a cumprir os condicionamentos da Lei nº 173/2020 por não termos o estado de calamidade declarado, bem como, o beneficio requerido pelo servidor citado foi autorizado legalmente muito antes da vigência da Lei nº 173/2020.</w:t>
      </w:r>
    </w:p>
    <w:p w:rsidR="00B22AF7" w:rsidRPr="00CE2DC1" w:rsidRDefault="00B22AF7" w:rsidP="00B22AF7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B22AF7" w:rsidRDefault="00B22AF7" w:rsidP="00B22AF7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B22AF7" w:rsidRPr="00CE2DC1" w:rsidRDefault="00B22AF7" w:rsidP="00B22AF7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2DC1">
        <w:rPr>
          <w:rFonts w:asciiTheme="majorHAnsi" w:hAnsiTheme="majorHAnsi"/>
          <w:sz w:val="24"/>
          <w:szCs w:val="24"/>
        </w:rPr>
        <w:t>Tangará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04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Maio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21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B22AF7" w:rsidRDefault="00B22AF7" w:rsidP="00B22AF7">
      <w:pPr>
        <w:jc w:val="center"/>
        <w:rPr>
          <w:rFonts w:asciiTheme="majorHAnsi" w:hAnsiTheme="majorHAnsi"/>
          <w:b/>
          <w:sz w:val="24"/>
          <w:szCs w:val="24"/>
        </w:rPr>
      </w:pPr>
    </w:p>
    <w:p w:rsidR="00B22AF7" w:rsidRPr="00CE2DC1" w:rsidRDefault="00B22AF7" w:rsidP="00B22AF7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B22AF7" w:rsidRPr="00CE2DC1" w:rsidRDefault="00B22AF7" w:rsidP="00B22AF7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9A3249" w:rsidRDefault="00B22AF7" w:rsidP="00B22AF7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sectPr w:rsidR="009A3249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B22AF7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B22AF7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</w:t>
    </w:r>
    <w:r w:rsidRPr="004E5448">
      <w:rPr>
        <w:rFonts w:ascii="Times New Roman" w:hAnsi="Times New Roman"/>
        <w:color w:val="231F20"/>
        <w:sz w:val="14"/>
        <w:szCs w:val="14"/>
      </w:rPr>
      <w:t>ter caráter preventivo, ser exercido permanentemente e estar voltado para a correção de eventuais desvios em relação aos parâmetros estabelecidos, como instrumento auxiliar de gestão”.</w:t>
    </w:r>
  </w:p>
  <w:p w:rsidR="00770E63" w:rsidRPr="004E5448" w:rsidRDefault="00B22AF7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 xml:space="preserve"> 65-3311-4626 – 78300-000 </w:t>
    </w:r>
    <w:r w:rsidRPr="004E5448">
      <w:rPr>
        <w:rFonts w:ascii="Times New Roman" w:hAnsi="Times New Roman"/>
        <w:b/>
        <w:sz w:val="14"/>
        <w:szCs w:val="14"/>
      </w:rPr>
      <w:t>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B22AF7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B22AF7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81623738" r:id="rId2"/>
            </w:object>
          </w:r>
        </w:p>
        <w:p w:rsidR="00770E63" w:rsidRPr="00225746" w:rsidRDefault="00B22AF7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B22AF7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B22AF7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B22AF7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AF7"/>
    <w:rsid w:val="009A3249"/>
    <w:rsid w:val="00B2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F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22AF7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22AF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2021-05-04T12:53:00Z</dcterms:created>
  <dcterms:modified xsi:type="dcterms:W3CDTF">2021-05-04T12:56:00Z</dcterms:modified>
</cp:coreProperties>
</file>