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FB" w:rsidRPr="00CE2DC1" w:rsidRDefault="009A6DFB" w:rsidP="009A6DFB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07/SCI-AP/2021</w:t>
      </w:r>
    </w:p>
    <w:p w:rsidR="009A6DFB" w:rsidRPr="00CE2DC1" w:rsidRDefault="009A6DFB" w:rsidP="009A6DF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A6DFB" w:rsidRPr="00CE2DC1" w:rsidRDefault="009A6DFB" w:rsidP="009A6DF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A6DFB" w:rsidRPr="00CE2DC1" w:rsidRDefault="009A6DFB" w:rsidP="009A6DF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A6DFB" w:rsidRPr="00CE2DC1" w:rsidRDefault="009A6DFB" w:rsidP="009A6DF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A6DFB" w:rsidRPr="00CE2DC1" w:rsidRDefault="009A6DFB" w:rsidP="009A6DF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9A6DFB" w:rsidRPr="00CE2DC1" w:rsidRDefault="009A6DFB" w:rsidP="009A6DF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>DANIEL VISCOVINI DA SILVA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9A6DFB" w:rsidRPr="00CE2DC1" w:rsidRDefault="009A6DFB" w:rsidP="009A6DFB">
      <w:pPr>
        <w:jc w:val="both"/>
        <w:rPr>
          <w:rFonts w:asciiTheme="majorHAnsi" w:hAnsiTheme="majorHAnsi"/>
          <w:sz w:val="24"/>
          <w:szCs w:val="24"/>
        </w:rPr>
      </w:pPr>
    </w:p>
    <w:p w:rsidR="009A6DFB" w:rsidRDefault="009A6DFB" w:rsidP="009A6DFB">
      <w:pPr>
        <w:jc w:val="both"/>
        <w:rPr>
          <w:rFonts w:asciiTheme="majorHAnsi" w:hAnsiTheme="majorHAnsi"/>
          <w:sz w:val="24"/>
          <w:szCs w:val="24"/>
        </w:rPr>
      </w:pPr>
    </w:p>
    <w:p w:rsidR="009A6DFB" w:rsidRPr="00CE2DC1" w:rsidRDefault="009A6DFB" w:rsidP="009A6DFB">
      <w:pPr>
        <w:jc w:val="both"/>
        <w:rPr>
          <w:rFonts w:asciiTheme="majorHAnsi" w:hAnsiTheme="majorHAnsi"/>
          <w:sz w:val="24"/>
          <w:szCs w:val="24"/>
        </w:rPr>
      </w:pPr>
    </w:p>
    <w:p w:rsidR="009A6DFB" w:rsidRPr="00CE2DC1" w:rsidRDefault="009A6DFB" w:rsidP="009A6DFB">
      <w:pPr>
        <w:jc w:val="both"/>
        <w:rPr>
          <w:rFonts w:asciiTheme="majorHAnsi" w:hAnsiTheme="majorHAnsi"/>
          <w:sz w:val="24"/>
          <w:szCs w:val="24"/>
        </w:rPr>
      </w:pPr>
    </w:p>
    <w:p w:rsidR="009A6DFB" w:rsidRPr="001C61BD" w:rsidRDefault="009A6DFB" w:rsidP="009A6DF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Daniel Viscovini da Silva, de progressão de duas referencias conforme art. 17, § 1º, da Lei 143/2009, apresentando certificado de conclusão de sessenta horas de cursos de capacitação ligados à sua área de atuação.</w:t>
      </w:r>
    </w:p>
    <w:p w:rsidR="009A6DFB" w:rsidRDefault="009A6DFB" w:rsidP="009A6DF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>foram observados. Deste modo, o parecer é favorável à concessão do benefício se cumpridas as exigências de ser a progressão anual, de aniversario de tempo de serviço e do momento de pedir, bem como a dotação orçamentária disponível.</w:t>
      </w:r>
    </w:p>
    <w:p w:rsidR="009A6DFB" w:rsidRDefault="009A6DFB" w:rsidP="009A6DFB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 que pese a Lei nº 173/2020 proibir o aumento de despesas com pessoal, a contagem de tempo de efetivo exercício e criar vantagens aos servidores até 31/12/2021, essa proibição só alcança os municípios que decretaram estado de calamidade pública devidamente aprovada pela Assembléia Legislativa de MT, via decreto, o que não é o caso de Tangará da Serra. Ainda, sobre a possibilidade de estarmos suscetíveis aos mandamentos da referida lei, no art. 8º, I, é claro o posicionamento de exceção de benefícios que derivam de decisão judicial e/ou de legislação anterior à Lei 173/2020.</w:t>
      </w:r>
    </w:p>
    <w:p w:rsidR="009A6DFB" w:rsidRPr="009A6DFB" w:rsidRDefault="009A6DFB" w:rsidP="009A6DFB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Dessa forma, entendemos que não estamos obrigados a cumprir seus condicionamentos por não termos o estado de calamidade declarado, bem como, o beneficio requerido pelo servidor citado foi autorizado legalmente muito antes da vigência da Lei nº 173/2020.</w:t>
      </w:r>
    </w:p>
    <w:p w:rsidR="009A6DFB" w:rsidRPr="00CE2DC1" w:rsidRDefault="009A6DFB" w:rsidP="009A6DF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9A6DFB" w:rsidRPr="00CE2DC1" w:rsidRDefault="009A6DFB" w:rsidP="009A6DFB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9A6DFB" w:rsidRPr="00CE2DC1" w:rsidRDefault="009A6DFB" w:rsidP="009A6DFB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18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Fevereiro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9A6DFB" w:rsidRDefault="009A6DFB" w:rsidP="009A6DFB">
      <w:pPr>
        <w:jc w:val="center"/>
        <w:rPr>
          <w:rFonts w:asciiTheme="majorHAnsi" w:hAnsiTheme="majorHAnsi"/>
          <w:b/>
          <w:sz w:val="24"/>
          <w:szCs w:val="24"/>
        </w:rPr>
      </w:pPr>
    </w:p>
    <w:p w:rsidR="009A6DFB" w:rsidRPr="00CE2DC1" w:rsidRDefault="009A6DFB" w:rsidP="009A6DFB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9A6DFB" w:rsidRPr="00CE2DC1" w:rsidRDefault="009A6DFB" w:rsidP="009A6DFB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9A6DFB" w:rsidRDefault="009A6DFB" w:rsidP="009A6DFB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630ECD" w:rsidRDefault="00630ECD"/>
    <w:sectPr w:rsidR="00630ECD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9A6DFB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9A6DFB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estar voltado para a </w:t>
    </w:r>
    <w:r w:rsidRPr="004E5448">
      <w:rPr>
        <w:rFonts w:ascii="Times New Roman" w:hAnsi="Times New Roman"/>
        <w:color w:val="231F20"/>
        <w:sz w:val="14"/>
        <w:szCs w:val="14"/>
      </w:rPr>
      <w:t>correção de eventuais desvios em relação aos parâmetros estabelecidos, como instrumento auxiliar de gestão”.</w:t>
    </w:r>
  </w:p>
  <w:p w:rsidR="00770E63" w:rsidRPr="004E5448" w:rsidRDefault="009A6DFB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9A6DFB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9A6DFB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75161905" r:id="rId2"/>
            </w:object>
          </w:r>
        </w:p>
        <w:p w:rsidR="00770E63" w:rsidRPr="00225746" w:rsidRDefault="009A6DFB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9A6DFB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9A6DFB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9A6DFB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6DFB"/>
    <w:rsid w:val="00630ECD"/>
    <w:rsid w:val="009A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A6DFB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A6D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2021-02-18T17:49:00Z</dcterms:created>
  <dcterms:modified xsi:type="dcterms:W3CDTF">2021-02-18T17:59:00Z</dcterms:modified>
</cp:coreProperties>
</file>